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1E" w:rsidRPr="00C11E1E" w:rsidRDefault="00C11E1E" w:rsidP="00C11E1E">
      <w:pPr>
        <w:ind w:left="-142"/>
        <w:jc w:val="center"/>
        <w:rPr>
          <w:b/>
          <w:sz w:val="32"/>
          <w:szCs w:val="24"/>
          <w:lang w:val="el-GR"/>
        </w:rPr>
      </w:pPr>
      <w:r>
        <w:rPr>
          <w:b/>
          <w:sz w:val="32"/>
          <w:szCs w:val="24"/>
          <w:lang w:val="el-GR"/>
        </w:rPr>
        <w:t>Μάθημα : «</w:t>
      </w:r>
      <w:r w:rsidRPr="00C11E1E">
        <w:rPr>
          <w:b/>
          <w:sz w:val="32"/>
          <w:szCs w:val="24"/>
          <w:lang w:val="el-GR"/>
        </w:rPr>
        <w:t>Μεταναστευτική πολιτική: Διαχείριση μεταναστευτικών ροών</w:t>
      </w:r>
      <w:r>
        <w:rPr>
          <w:b/>
          <w:sz w:val="32"/>
          <w:szCs w:val="24"/>
          <w:lang w:val="el-GR"/>
        </w:rPr>
        <w:t>»</w:t>
      </w:r>
    </w:p>
    <w:p w:rsidR="00D45BF0" w:rsidRPr="00C11E1E" w:rsidRDefault="00D45BF0" w:rsidP="00C11E1E">
      <w:pPr>
        <w:ind w:left="-142"/>
        <w:jc w:val="center"/>
        <w:rPr>
          <w:b/>
          <w:sz w:val="32"/>
          <w:szCs w:val="24"/>
          <w:lang w:val="el-GR"/>
        </w:rPr>
      </w:pPr>
      <w:r w:rsidRPr="00C11E1E">
        <w:rPr>
          <w:b/>
          <w:sz w:val="32"/>
          <w:szCs w:val="24"/>
          <w:lang w:val="el-GR"/>
        </w:rPr>
        <w:t xml:space="preserve">Θέματα </w:t>
      </w:r>
      <w:r w:rsidR="00C11E1E" w:rsidRPr="00C11E1E">
        <w:rPr>
          <w:b/>
          <w:sz w:val="32"/>
          <w:szCs w:val="24"/>
          <w:lang w:val="el-GR"/>
        </w:rPr>
        <w:t>Ατομικών Ε</w:t>
      </w:r>
      <w:r w:rsidRPr="00C11E1E">
        <w:rPr>
          <w:b/>
          <w:sz w:val="32"/>
          <w:szCs w:val="24"/>
          <w:lang w:val="el-GR"/>
        </w:rPr>
        <w:t>ργασιών</w:t>
      </w:r>
      <w:r w:rsidR="00C11E1E" w:rsidRPr="00C11E1E">
        <w:rPr>
          <w:b/>
          <w:sz w:val="32"/>
          <w:szCs w:val="24"/>
          <w:lang w:val="el-GR"/>
        </w:rPr>
        <w:t xml:space="preserve"> </w:t>
      </w:r>
    </w:p>
    <w:p w:rsidR="00D45BF0" w:rsidRPr="00331E38" w:rsidRDefault="00D45BF0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κοινή Δήλωση ΕΕ – Τουρκίας για τη διαχείριση της μεταναστευτικής κρίσης (2016): παρουσίαση, περιεχόμενο και αποτίμηση της υλοποίησης</w:t>
      </w:r>
    </w:p>
    <w:p w:rsidR="00D45BF0" w:rsidRPr="00331E38" w:rsidRDefault="00D45BF0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Κανονισμός Δουβλίνου: η διαχρονική εξέλιξη του νομοθετήματος από το Δουβλίνο Ι στο Δουβλίνο ΙΙΙ και η προοπτική για τον μέλλον (τρέχουσα πρόταση Ευρωπαϊκής Επιτροπής)</w:t>
      </w:r>
    </w:p>
    <w:p w:rsidR="00D45BF0" w:rsidRPr="00331E38" w:rsidRDefault="00D45BF0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παρουσίαση της προσφυγικής – μεταναστευτικής κρίσης της περιόδου Σεπτέμβριο 2015 – Μάρτιος 2016 από τα ηλεκτρονικά και έντυπα μέσα ενημέρωσης στη χώρα μας</w:t>
      </w:r>
    </w:p>
    <w:p w:rsidR="00D45BF0" w:rsidRPr="00331E38" w:rsidRDefault="00D45BF0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Οι συμφωνίες επανεισδοχής ως εργαλείο διαχείρισης της εξωτερικής διάστασης της μετανάστευσης: παρουσίαση, αξιολόγηση, περιεχόμενο &amp; προοπτικές</w:t>
      </w:r>
    </w:p>
    <w:p w:rsidR="00501C99" w:rsidRPr="00331E38" w:rsidRDefault="00501C99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 xml:space="preserve">Η οικογενειακή επανένωση των μεταναστών και των προσφύγων: παρουσίαση νομοθεσίας και αποτίμηση σύμφωνα με τις εκθέσεις της ευρωπαϊκής επιτροπής και τις σχετικές δημόσιες διαβουλεύσεις </w:t>
      </w:r>
    </w:p>
    <w:p w:rsidR="00501C99" w:rsidRPr="00331E38" w:rsidRDefault="00501C99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 xml:space="preserve">Η αξιοποίηση των εμβασμάτων για την ανάπτυξη των χωρών προέλευσης μεταναστών μέσα από τα διεθνή κείμενα (ΗΕ, </w:t>
      </w:r>
      <w:r w:rsidR="00227F91" w:rsidRPr="00331E38">
        <w:rPr>
          <w:sz w:val="24"/>
          <w:szCs w:val="24"/>
          <w:lang w:val="el-GR"/>
        </w:rPr>
        <w:t xml:space="preserve">Παγκόσμιο Σύμφωνο για τη Μετανάστευση, </w:t>
      </w:r>
      <w:r w:rsidRPr="00331E38">
        <w:rPr>
          <w:sz w:val="24"/>
          <w:szCs w:val="24"/>
        </w:rPr>
        <w:t>EE</w:t>
      </w:r>
      <w:r w:rsidRPr="00331E38">
        <w:rPr>
          <w:sz w:val="24"/>
          <w:szCs w:val="24"/>
          <w:lang w:val="el-GR"/>
        </w:rPr>
        <w:t xml:space="preserve"> και Παγκόσμιο Φόρουμ για τη Μετανάστευση και την Ανάπτυξη)</w:t>
      </w:r>
    </w:p>
    <w:p w:rsidR="00501C99" w:rsidRPr="00331E38" w:rsidRDefault="00501C99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μετανάστευση για επενδύσεις στην Ελλάδα: παρουσίαση του θεσμικού πλαισίου, στατιστική αποτίμηση και προοπτικές</w:t>
      </w:r>
    </w:p>
    <w:p w:rsidR="000517C1" w:rsidRPr="00331E38" w:rsidRDefault="000517C1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μετανάστευση για επενδύσεις στην Ευρωπαϊκή Ένωση: συγκριτική παρουσίαση των πολιτικών Golden Visa της  Ελλάδας, της Πορτογαλίας</w:t>
      </w:r>
      <w:r w:rsidR="00E33701" w:rsidRPr="00331E38">
        <w:rPr>
          <w:sz w:val="24"/>
          <w:szCs w:val="24"/>
          <w:lang w:val="el-GR"/>
        </w:rPr>
        <w:t>, της Ισπανίας και της Γαλλίας</w:t>
      </w:r>
    </w:p>
    <w:p w:rsidR="00502232" w:rsidRPr="00331E38" w:rsidRDefault="00E33701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μετανάστευση για την άσκηση δραστηριότητας υψηλής ειδίκε</w:t>
      </w:r>
      <w:bookmarkStart w:id="0" w:name="_GoBack"/>
      <w:bookmarkEnd w:id="0"/>
      <w:r w:rsidRPr="00331E38">
        <w:rPr>
          <w:sz w:val="24"/>
          <w:szCs w:val="24"/>
          <w:lang w:val="el-GR"/>
        </w:rPr>
        <w:t xml:space="preserve">υσης στην Ελλάδα: η Οδηγία 2009/50/ΕΕ σε αντιδιαστολή </w:t>
      </w:r>
      <w:r w:rsidR="00502232" w:rsidRPr="00331E38">
        <w:rPr>
          <w:sz w:val="24"/>
          <w:szCs w:val="24"/>
          <w:lang w:val="el-GR"/>
        </w:rPr>
        <w:t>με τις εθνικές ρυθμίσεις για την είσοδο στελεχών επιχειρήσεων (άρθρο 17, ν.4251/2014)</w:t>
      </w:r>
    </w:p>
    <w:p w:rsidR="00501C99" w:rsidRPr="00331E38" w:rsidRDefault="00502232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Το καθεστώς του επί μακρόν διαμένοντος σύμφωνα με τη Οδηγία 2003/109/ΕΚ σε σύγκριση με τα εθνικά καθεστώτα μακράς διαμονής στην Ελλάδα (δεκαετής άδεια διαμονής &amp; άδεια διαμονής δεύτερης γενιάς): παρουσίαση, στατιστική αποτίμηση και προοπτικές</w:t>
      </w:r>
    </w:p>
    <w:p w:rsidR="00502232" w:rsidRPr="00331E38" w:rsidRDefault="006F44C1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Η νόμιμη μετανάστευση μέσα από το πρίσμα των τοπικών και περιφερειακών αρχών των κρατών μελών της ΕΕ: η προσέγγιση της Επιτροπής των Περιφερειών</w:t>
      </w:r>
      <w:r w:rsidR="00502232" w:rsidRPr="00331E38">
        <w:rPr>
          <w:sz w:val="24"/>
          <w:szCs w:val="24"/>
          <w:lang w:val="el-GR"/>
        </w:rPr>
        <w:t xml:space="preserve"> </w:t>
      </w:r>
    </w:p>
    <w:p w:rsidR="006F44C1" w:rsidRPr="00331E38" w:rsidRDefault="006F44C1" w:rsidP="006F44C1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 xml:space="preserve">Ο ρόλος των τοπικών και περιφερειακών αρχών των κρατών μελών της ΕΕ στην ενσωμάτωση των μεταναστών: η προσέγγιση της Επιτροπής των Περιφερειών </w:t>
      </w:r>
    </w:p>
    <w:p w:rsidR="006F44C1" w:rsidRPr="00331E38" w:rsidRDefault="006F44C1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 xml:space="preserve">Οι συμφωνίες διευκόλυνσης ή απαλλαγής θεωρήσεων της ΕΕ με τρίτες χώρες: παρουσίαση, συγκριτικό περιεχόμενο και προοπτικές </w:t>
      </w:r>
    </w:p>
    <w:p w:rsidR="006F44C1" w:rsidRPr="00331E38" w:rsidRDefault="00227F91" w:rsidP="00501C99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331E38">
        <w:rPr>
          <w:sz w:val="24"/>
          <w:szCs w:val="24"/>
          <w:lang w:val="el-GR"/>
        </w:rPr>
        <w:t>Οι περιφερειακές διακυβερνητικές πρωτοβουλίες συνεργασίας στον τομέα της μετανάστευσης μέσα από τις συζητήσεις του Παγκοσμίου Φόρουμ για την Μετανάστευση και την Ανάπτυξη</w:t>
      </w:r>
    </w:p>
    <w:p w:rsidR="00227F91" w:rsidRPr="00331E38" w:rsidRDefault="00227F91" w:rsidP="00227F91">
      <w:pPr>
        <w:pStyle w:val="a3"/>
        <w:jc w:val="both"/>
        <w:rPr>
          <w:sz w:val="24"/>
          <w:szCs w:val="24"/>
          <w:lang w:val="el-GR"/>
        </w:rPr>
      </w:pPr>
    </w:p>
    <w:p w:rsidR="00227F91" w:rsidRPr="00C11E1E" w:rsidRDefault="00227F91" w:rsidP="00227F91">
      <w:pPr>
        <w:pStyle w:val="a3"/>
        <w:jc w:val="right"/>
        <w:rPr>
          <w:b/>
          <w:sz w:val="24"/>
          <w:szCs w:val="24"/>
          <w:lang w:val="el-GR"/>
        </w:rPr>
      </w:pPr>
      <w:r w:rsidRPr="00C11E1E">
        <w:rPr>
          <w:b/>
          <w:sz w:val="24"/>
          <w:szCs w:val="24"/>
          <w:lang w:val="el-GR"/>
        </w:rPr>
        <w:t>Μ. Κοσμίδης</w:t>
      </w:r>
    </w:p>
    <w:sectPr w:rsidR="00227F91" w:rsidRPr="00C11E1E" w:rsidSect="00C11E1E">
      <w:pgSz w:w="12240" w:h="15840"/>
      <w:pgMar w:top="993" w:right="104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2145"/>
    <w:multiLevelType w:val="hybridMultilevel"/>
    <w:tmpl w:val="C7CC6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2AC7"/>
    <w:multiLevelType w:val="hybridMultilevel"/>
    <w:tmpl w:val="7020E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F0"/>
    <w:rsid w:val="000517C1"/>
    <w:rsid w:val="00227F91"/>
    <w:rsid w:val="00331E38"/>
    <w:rsid w:val="00501C99"/>
    <w:rsid w:val="00502232"/>
    <w:rsid w:val="006F44C1"/>
    <w:rsid w:val="00BA2763"/>
    <w:rsid w:val="00C11E1E"/>
    <w:rsid w:val="00D45BF0"/>
    <w:rsid w:val="00E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E42F8-3AD6-4DA4-8D62-AA0B2758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ΠΛΑΤΗΣ ΧΑΡΑΛΑΜΠΌΣ (PLATIS CHARALAMPOS)</cp:lastModifiedBy>
  <cp:revision>3</cp:revision>
  <dcterms:created xsi:type="dcterms:W3CDTF">2020-05-18T18:35:00Z</dcterms:created>
  <dcterms:modified xsi:type="dcterms:W3CDTF">2020-05-18T20:52:00Z</dcterms:modified>
</cp:coreProperties>
</file>