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08F" w:rsidRDefault="0068108F" w:rsidP="00C02940">
      <w:pPr>
        <w:jc w:val="center"/>
        <w:rPr>
          <w:b/>
          <w:sz w:val="22"/>
        </w:rPr>
      </w:pPr>
      <w:bookmarkStart w:id="0" w:name="_Toc321080367"/>
      <w:bookmarkStart w:id="1" w:name="_Toc321080368"/>
      <w:r>
        <w:rPr>
          <w:b/>
          <w:sz w:val="22"/>
        </w:rPr>
        <w:t>Πολιτική</w:t>
      </w:r>
      <w:r w:rsidRPr="00CC1958">
        <w:rPr>
          <w:b/>
          <w:sz w:val="22"/>
        </w:rPr>
        <w:t xml:space="preserve"> </w:t>
      </w:r>
      <w:r>
        <w:rPr>
          <w:b/>
          <w:sz w:val="22"/>
        </w:rPr>
        <w:t>προσλήψεων</w:t>
      </w:r>
      <w:r w:rsidRPr="00CC1958">
        <w:rPr>
          <w:b/>
          <w:sz w:val="22"/>
        </w:rPr>
        <w:t xml:space="preserve"> </w:t>
      </w:r>
      <w:r>
        <w:rPr>
          <w:b/>
          <w:sz w:val="22"/>
        </w:rPr>
        <w:t>ανθρώπινου δυναμικού στη δημόσια διοίκηση</w:t>
      </w:r>
      <w:r w:rsidRPr="002B5C0B">
        <w:rPr>
          <w:b/>
          <w:sz w:val="22"/>
        </w:rPr>
        <w:t>:</w:t>
      </w:r>
    </w:p>
    <w:p w:rsidR="0068108F" w:rsidRPr="001D37D7" w:rsidRDefault="0068108F" w:rsidP="00C02940">
      <w:pPr>
        <w:jc w:val="center"/>
      </w:pPr>
      <w:r>
        <w:rPr>
          <w:b/>
          <w:sz w:val="22"/>
        </w:rPr>
        <w:t xml:space="preserve">ποιοτικές και ποσοτικές ενδείξεις 1951-2017 </w:t>
      </w:r>
    </w:p>
    <w:p w:rsidR="0068108F" w:rsidRDefault="0068108F" w:rsidP="00134317">
      <w:pPr>
        <w:jc w:val="center"/>
        <w:rPr>
          <w:b/>
          <w:sz w:val="22"/>
        </w:rPr>
      </w:pPr>
    </w:p>
    <w:p w:rsidR="0068108F" w:rsidRPr="006D364B" w:rsidRDefault="0068108F" w:rsidP="00134317">
      <w:pPr>
        <w:jc w:val="center"/>
        <w:rPr>
          <w:sz w:val="22"/>
        </w:rPr>
      </w:pPr>
      <w:r w:rsidRPr="006D364B">
        <w:rPr>
          <w:sz w:val="22"/>
        </w:rPr>
        <w:t>Γιώργος Οικονόμου</w:t>
      </w:r>
    </w:p>
    <w:p w:rsidR="0068108F" w:rsidRDefault="0068108F" w:rsidP="00134317">
      <w:pPr>
        <w:jc w:val="center"/>
        <w:rPr>
          <w:sz w:val="22"/>
        </w:rPr>
      </w:pPr>
      <w:r>
        <w:rPr>
          <w:sz w:val="22"/>
        </w:rPr>
        <w:t xml:space="preserve">Δρ. Τμήματος Πολιτικής Επιστήμης και Δημόσιας Διοίκησης, </w:t>
      </w:r>
      <w:r w:rsidRPr="006D364B">
        <w:rPr>
          <w:sz w:val="22"/>
        </w:rPr>
        <w:t>ΕΚΠΑ</w:t>
      </w:r>
    </w:p>
    <w:p w:rsidR="0068108F" w:rsidRDefault="0068108F" w:rsidP="00134317">
      <w:pPr>
        <w:jc w:val="center"/>
        <w:rPr>
          <w:b/>
          <w:sz w:val="22"/>
        </w:rPr>
      </w:pPr>
      <w:r>
        <w:rPr>
          <w:sz w:val="22"/>
        </w:rPr>
        <w:t>ΜΔΕ Δημόσια Πολιτική και Διοίκηση, ΟΠΑ</w:t>
      </w:r>
    </w:p>
    <w:p w:rsidR="0068108F" w:rsidRDefault="0068108F" w:rsidP="005D1CB8"/>
    <w:p w:rsidR="0068108F" w:rsidRDefault="0068108F" w:rsidP="005D1CB8"/>
    <w:p w:rsidR="0068108F" w:rsidRPr="0023468D" w:rsidRDefault="0068108F" w:rsidP="005D1CB8">
      <w:pPr>
        <w:rPr>
          <w:b/>
          <w:sz w:val="22"/>
          <w:lang w:val="en-US"/>
        </w:rPr>
      </w:pPr>
      <w:r w:rsidRPr="0023468D">
        <w:rPr>
          <w:b/>
          <w:sz w:val="22"/>
          <w:lang w:val="en-US"/>
        </w:rPr>
        <w:t>Abstract</w:t>
      </w:r>
    </w:p>
    <w:p w:rsidR="0068108F" w:rsidRPr="0023468D" w:rsidRDefault="0068108F" w:rsidP="000163F3">
      <w:pPr>
        <w:rPr>
          <w:sz w:val="22"/>
          <w:lang w:val="en-US"/>
        </w:rPr>
      </w:pPr>
      <w:r w:rsidRPr="0023468D">
        <w:rPr>
          <w:sz w:val="22"/>
          <w:lang w:val="en-US"/>
        </w:rPr>
        <w:t xml:space="preserve">Recruitment stands as a key feature in the process of human resource management determining the levels of quality and capacity of the appointed personnel. With regard to public services, the selecting process is also linked with the democratic right of citizens to enjoy equal opportunities and access –under the same rules– when </w:t>
      </w:r>
      <w:r>
        <w:rPr>
          <w:sz w:val="22"/>
          <w:lang w:val="en-US"/>
        </w:rPr>
        <w:t>searching</w:t>
      </w:r>
      <w:r w:rsidRPr="0023468D">
        <w:rPr>
          <w:sz w:val="22"/>
          <w:lang w:val="en-US"/>
        </w:rPr>
        <w:t xml:space="preserve"> for work. From 1951 onwards the policy of selecting personnel </w:t>
      </w:r>
      <w:r>
        <w:rPr>
          <w:sz w:val="22"/>
          <w:lang w:val="en-US"/>
        </w:rPr>
        <w:t xml:space="preserve">in the Greek public sector </w:t>
      </w:r>
      <w:r w:rsidRPr="0023468D">
        <w:rPr>
          <w:sz w:val="22"/>
          <w:lang w:val="en-US"/>
        </w:rPr>
        <w:t xml:space="preserve">has </w:t>
      </w:r>
      <w:r>
        <w:rPr>
          <w:sz w:val="22"/>
          <w:lang w:val="en-US"/>
        </w:rPr>
        <w:t>tried to cope</w:t>
      </w:r>
      <w:r w:rsidRPr="0023468D">
        <w:rPr>
          <w:sz w:val="22"/>
          <w:lang w:val="en-US"/>
        </w:rPr>
        <w:t xml:space="preserve"> with meritocratic selection. However, clientelistic practices have also been in tandem with meritocratic processes for many decades, thus resulting in the existence of a dual system of recruitment: a formal</w:t>
      </w:r>
      <w:r>
        <w:rPr>
          <w:sz w:val="22"/>
          <w:lang w:val="en-US"/>
        </w:rPr>
        <w:t xml:space="preserve"> one </w:t>
      </w:r>
      <w:r w:rsidRPr="0023468D">
        <w:rPr>
          <w:sz w:val="22"/>
          <w:lang w:val="en-US"/>
        </w:rPr>
        <w:t xml:space="preserve">which is represented by institutions managing the selection phase, and an informal which is facilitated by procedures bypassing the official authorities. This article provides an overview of the recruitment policy in </w:t>
      </w:r>
      <w:r>
        <w:rPr>
          <w:sz w:val="22"/>
          <w:lang w:val="en-US"/>
        </w:rPr>
        <w:t xml:space="preserve">the </w:t>
      </w:r>
      <w:r w:rsidRPr="0023468D">
        <w:rPr>
          <w:sz w:val="22"/>
          <w:lang w:val="en-US"/>
        </w:rPr>
        <w:t xml:space="preserve">Greek public services, and presents empirical evidence regarding meritocratic appointments taking into consideration the total number of civil servants. It is argued that the diachronic efforts for enhancing meritocratic selection of personnel have been systematically undermined by </w:t>
      </w:r>
      <w:r>
        <w:rPr>
          <w:sz w:val="22"/>
          <w:lang w:val="en-US"/>
        </w:rPr>
        <w:t xml:space="preserve">parallel and </w:t>
      </w:r>
      <w:r w:rsidRPr="0023468D">
        <w:rPr>
          <w:sz w:val="22"/>
          <w:lang w:val="en-US"/>
        </w:rPr>
        <w:t xml:space="preserve">elaborate clientelistic practices. This </w:t>
      </w:r>
      <w:r>
        <w:rPr>
          <w:sz w:val="22"/>
          <w:lang w:val="en-US"/>
        </w:rPr>
        <w:t xml:space="preserve">situation could partly explain </w:t>
      </w:r>
      <w:r w:rsidRPr="0023468D">
        <w:rPr>
          <w:sz w:val="22"/>
          <w:lang w:val="en-US"/>
        </w:rPr>
        <w:t>the overall administrative capacity of the Greek bureaucra</w:t>
      </w:r>
      <w:r>
        <w:rPr>
          <w:sz w:val="22"/>
          <w:lang w:val="en-US"/>
        </w:rPr>
        <w:t>cy to effectively formulate and implement public policies</w:t>
      </w:r>
      <w:r w:rsidRPr="0023468D">
        <w:rPr>
          <w:sz w:val="22"/>
          <w:lang w:val="en-US"/>
        </w:rPr>
        <w:t>.</w:t>
      </w:r>
    </w:p>
    <w:p w:rsidR="0068108F" w:rsidRPr="0023468D" w:rsidRDefault="0068108F" w:rsidP="000163F3">
      <w:pPr>
        <w:rPr>
          <w:sz w:val="22"/>
          <w:lang w:val="en-US"/>
        </w:rPr>
      </w:pPr>
    </w:p>
    <w:p w:rsidR="0068108F" w:rsidRPr="00841D2F" w:rsidRDefault="0068108F" w:rsidP="005D1CB8">
      <w:pPr>
        <w:rPr>
          <w:lang w:val="en-US"/>
        </w:rPr>
      </w:pPr>
      <w:r>
        <w:rPr>
          <w:lang w:val="en-US"/>
        </w:rPr>
        <w:t>Keywords</w:t>
      </w:r>
      <w:r w:rsidRPr="00841D2F">
        <w:rPr>
          <w:lang w:val="en-US"/>
        </w:rPr>
        <w:t xml:space="preserve">:  </w:t>
      </w:r>
      <w:r>
        <w:rPr>
          <w:lang w:val="en-US"/>
        </w:rPr>
        <w:t>A.S.E.P., human resource, Greece, recruitment policy.</w:t>
      </w:r>
    </w:p>
    <w:p w:rsidR="0068108F" w:rsidRPr="00841D2F" w:rsidRDefault="0068108F" w:rsidP="005D1CB8">
      <w:r>
        <w:t>Λέξεις</w:t>
      </w:r>
      <w:r w:rsidRPr="00841D2F">
        <w:t>-</w:t>
      </w:r>
      <w:r>
        <w:t>κλειδιά</w:t>
      </w:r>
      <w:r w:rsidRPr="00841D2F">
        <w:t xml:space="preserve">: </w:t>
      </w:r>
      <w:r>
        <w:t>Ανθρώπινο δυναμικό, Α.Σ.Ε.Π., Ελλάδα, πολιτική επιλογής προσωπικού.</w:t>
      </w:r>
    </w:p>
    <w:p w:rsidR="0068108F" w:rsidRPr="00841D2F" w:rsidRDefault="0068108F" w:rsidP="005D1CB8"/>
    <w:p w:rsidR="0068108F" w:rsidRPr="00B170FD" w:rsidRDefault="0068108F" w:rsidP="006E3320">
      <w:pPr>
        <w:pStyle w:val="Heading1"/>
        <w:numPr>
          <w:ilvl w:val="0"/>
          <w:numId w:val="0"/>
        </w:numPr>
      </w:pPr>
      <w:bookmarkStart w:id="2" w:name="_Toc360804356"/>
      <w:bookmarkStart w:id="3" w:name="_Toc501397086"/>
      <w:r>
        <w:t xml:space="preserve">1. </w:t>
      </w:r>
      <w:r w:rsidRPr="00134317">
        <w:t>Εισαγω</w:t>
      </w:r>
      <w:bookmarkEnd w:id="2"/>
      <w:r>
        <w:t>γή</w:t>
      </w:r>
      <w:bookmarkEnd w:id="3"/>
    </w:p>
    <w:p w:rsidR="0068108F" w:rsidRDefault="0068108F" w:rsidP="006D364B">
      <w:pPr>
        <w:rPr>
          <w:sz w:val="22"/>
        </w:rPr>
      </w:pPr>
      <w:r w:rsidRPr="009D5079">
        <w:rPr>
          <w:sz w:val="22"/>
        </w:rPr>
        <w:t xml:space="preserve">Η επιλογή </w:t>
      </w:r>
      <w:r>
        <w:rPr>
          <w:sz w:val="22"/>
        </w:rPr>
        <w:t>ανθρώπινου δυναμικού</w:t>
      </w:r>
      <w:r w:rsidRPr="009D5079">
        <w:rPr>
          <w:sz w:val="22"/>
        </w:rPr>
        <w:t xml:space="preserve"> </w:t>
      </w:r>
      <w:r>
        <w:rPr>
          <w:sz w:val="22"/>
        </w:rPr>
        <w:t>θεωρείται</w:t>
      </w:r>
      <w:r w:rsidRPr="009D5079">
        <w:rPr>
          <w:sz w:val="22"/>
        </w:rPr>
        <w:t xml:space="preserve"> </w:t>
      </w:r>
      <w:r>
        <w:rPr>
          <w:sz w:val="22"/>
        </w:rPr>
        <w:t>μια</w:t>
      </w:r>
      <w:r w:rsidRPr="009D5079">
        <w:rPr>
          <w:sz w:val="22"/>
        </w:rPr>
        <w:t xml:space="preserve"> από τ</w:t>
      </w:r>
      <w:r>
        <w:rPr>
          <w:sz w:val="22"/>
        </w:rPr>
        <w:t>ις</w:t>
      </w:r>
      <w:r w:rsidRPr="009D5079">
        <w:rPr>
          <w:sz w:val="22"/>
        </w:rPr>
        <w:t xml:space="preserve"> </w:t>
      </w:r>
      <w:r>
        <w:rPr>
          <w:sz w:val="22"/>
        </w:rPr>
        <w:t>βασικότερες</w:t>
      </w:r>
      <w:r w:rsidRPr="009D5079">
        <w:rPr>
          <w:sz w:val="22"/>
        </w:rPr>
        <w:t xml:space="preserve"> </w:t>
      </w:r>
      <w:r>
        <w:rPr>
          <w:sz w:val="22"/>
        </w:rPr>
        <w:t>πτυχές του πλαισίου οργάνωσης, λειτουργίας και επιδίωξης των στόχων κάθε τύπου οργάνωσης</w:t>
      </w:r>
      <w:r>
        <w:rPr>
          <w:rStyle w:val="FootnoteReference"/>
          <w:sz w:val="22"/>
        </w:rPr>
        <w:footnoteReference w:id="1"/>
      </w:r>
      <w:r>
        <w:rPr>
          <w:sz w:val="22"/>
        </w:rPr>
        <w:t xml:space="preserve">. Ως διαδικασία, συναρτάται με την αναζήτηση του κατάλληλου </w:t>
      </w:r>
      <w:r w:rsidRPr="009D5079">
        <w:rPr>
          <w:sz w:val="22"/>
        </w:rPr>
        <w:t xml:space="preserve">παραγωγικού συντελεστή </w:t>
      </w:r>
      <w:r>
        <w:rPr>
          <w:sz w:val="22"/>
        </w:rPr>
        <w:t>«</w:t>
      </w:r>
      <w:r w:rsidRPr="009D5079">
        <w:rPr>
          <w:sz w:val="22"/>
        </w:rPr>
        <w:t>εργασία</w:t>
      </w:r>
      <w:r>
        <w:rPr>
          <w:sz w:val="22"/>
        </w:rPr>
        <w:t>», ή με άλλα λόγια, του εντοπισμού των ανθρώπινων πόρων που κρίνεται ότι ικανοποιούν τις προϋποθέσεις στελέχωσης της οργάνωσης</w:t>
      </w:r>
      <w:r w:rsidRPr="009D5079">
        <w:rPr>
          <w:sz w:val="22"/>
        </w:rPr>
        <w:t xml:space="preserve">. </w:t>
      </w:r>
    </w:p>
    <w:p w:rsidR="0068108F" w:rsidRDefault="0068108F" w:rsidP="006D364B">
      <w:pPr>
        <w:rPr>
          <w:sz w:val="22"/>
        </w:rPr>
      </w:pPr>
    </w:p>
    <w:p w:rsidR="0068108F" w:rsidRDefault="0068108F" w:rsidP="006D364B">
      <w:pPr>
        <w:rPr>
          <w:sz w:val="22"/>
        </w:rPr>
      </w:pPr>
      <w:r>
        <w:rPr>
          <w:sz w:val="22"/>
        </w:rPr>
        <w:t>Γενικά, η επίδραση της επιλογής προσωπικού αντανακλάται τόσο στην μικρο-οργανωσιακή πραγματικότητα, με όρους παραγωγικότητας και αποτελεσματικότητας, όσο και στο ευρύτερο (μάκρο-) οικονομικό και κοινωνικό περιβάλλον</w:t>
      </w:r>
      <w:r>
        <w:rPr>
          <w:sz w:val="22"/>
        </w:rPr>
        <w:sym w:font="Wingdings" w:char="F09E"/>
      </w:r>
      <w:r>
        <w:rPr>
          <w:sz w:val="22"/>
        </w:rPr>
        <w:t xml:space="preserve"> στη δεύτερη περίπτωση συνδέεται με τις οργανώσεις που λειτουργούν ως δημόσιες υπηρεσίες και οποίες συμμετέχουν στα στάδια του σχεδιασμού, διαμόρφωσης, υλοποίησης, αξιολόγησης και ελέγχου δημόσιων πολιτικών. Υπό αυτή την οπτική, το ουσιαστικό περιεχόμενο της πολιτικής για την επιλογή ανθρώπινου δυναμικού αναδεικνύεται ως ιδιαίτερα κρίσιμο χαρακτηριστικό για τη συνολική απόδοση του διοικητικού μηχανισμού και των θεσμών που τον συγκροτούν. </w:t>
      </w:r>
    </w:p>
    <w:p w:rsidR="0068108F" w:rsidRDefault="0068108F" w:rsidP="006D364B">
      <w:pPr>
        <w:rPr>
          <w:sz w:val="22"/>
        </w:rPr>
      </w:pPr>
    </w:p>
    <w:p w:rsidR="0068108F" w:rsidRDefault="0068108F" w:rsidP="00D0618D">
      <w:pPr>
        <w:rPr>
          <w:sz w:val="22"/>
        </w:rPr>
      </w:pPr>
      <w:r>
        <w:rPr>
          <w:sz w:val="22"/>
        </w:rPr>
        <w:t>Σκοπός του παρόντος άρθρου είναι η αποτύπωση της πορείας της πολιτικής προσλήψεων ανθρώπινου δυναμικού στις ελληνικές δημόσιες οργανώσεις την περίοδο 1951-2017 και η αναζήτηση ενδείξεων αναφορικά με τον αντίκτυπο της πολιτικής στην διοικητική ικανότητα (</w:t>
      </w:r>
      <w:r>
        <w:rPr>
          <w:sz w:val="22"/>
          <w:lang w:val="en-US"/>
        </w:rPr>
        <w:t>administrative</w:t>
      </w:r>
      <w:r w:rsidRPr="00B170FD">
        <w:rPr>
          <w:sz w:val="22"/>
        </w:rPr>
        <w:t xml:space="preserve"> </w:t>
      </w:r>
      <w:r>
        <w:rPr>
          <w:sz w:val="22"/>
          <w:lang w:val="en-US"/>
        </w:rPr>
        <w:t>capacity</w:t>
      </w:r>
      <w:r>
        <w:rPr>
          <w:sz w:val="22"/>
        </w:rPr>
        <w:t xml:space="preserve">) του δημοσιοϋπαλληλικού σώματος και, κατ’ επέκταση, της δημόσιας διοίκησης. Υιοθετώντας την ιστορική νεοθεσμική προσέγγιση ως θεωρητική οπτική, η θέση που υποστηρίζεται είναι ότι η πολιτική προσλήψεων δεν χρησιμοποιήθηκε επαρκώς –και με αξιοκρατικούς όρους– για τη συγκρότηση επαγγελματικής γραφειοκρατίας αλλά εξυπηρέτησε και μη συμβατά με την αρχή αιτήματα. Εμπειρική υποστήριξη αντλείται από δεδομένα ετήσιων εκθέσεων καθώς και από την απογραφή ανθρώπινου δυναμικού στο δημόσιο (από το 2009 και έπειτα). </w:t>
      </w:r>
    </w:p>
    <w:p w:rsidR="0068108F" w:rsidRDefault="0068108F" w:rsidP="00D0618D">
      <w:pPr>
        <w:rPr>
          <w:sz w:val="22"/>
        </w:rPr>
      </w:pPr>
    </w:p>
    <w:p w:rsidR="0068108F" w:rsidRDefault="0068108F" w:rsidP="00D0618D">
      <w:pPr>
        <w:rPr>
          <w:sz w:val="22"/>
        </w:rPr>
      </w:pPr>
      <w:r>
        <w:rPr>
          <w:sz w:val="22"/>
        </w:rPr>
        <w:t xml:space="preserve">Το κείμενο που ακολουθεί δομείται ως εξής: στην επόμενη ενότητα παρουσιάζονται βασικές μέθοδοι και διαδικασίες επιλογής προσωπικού. Στη συνέχεια, προσεγγίζεται το περιεχόμενο των υιοθετούμενων πολιτικών επιχειρώντας τον εντοπισμό και την ανάδειξη ενδείξεων (α)συνέχειας και κρίσιμων σημείων μεταβολής του περιεχομένου της πολιτικής. Στην </w:t>
      </w:r>
      <w:r w:rsidRPr="000F7EE4">
        <w:rPr>
          <w:sz w:val="22"/>
        </w:rPr>
        <w:t>τέταρτη ενότητα παρουσιάζονται</w:t>
      </w:r>
      <w:r>
        <w:rPr>
          <w:sz w:val="22"/>
        </w:rPr>
        <w:t xml:space="preserve"> ποσοτικά δεδομένα προσλήψεων. Έπειτα, ακολουθεί το τμήμα της συζήτησης και κριτικής αποτίμησης, ενώ το κείμενο ολοκληρώνεται με τα συμπεράσματα.</w:t>
      </w:r>
    </w:p>
    <w:p w:rsidR="0068108F" w:rsidRDefault="0068108F" w:rsidP="00D0618D">
      <w:pPr>
        <w:rPr>
          <w:sz w:val="22"/>
        </w:rPr>
      </w:pPr>
    </w:p>
    <w:p w:rsidR="0068108F" w:rsidRDefault="0068108F" w:rsidP="006E3320">
      <w:pPr>
        <w:pStyle w:val="Heading1"/>
        <w:numPr>
          <w:ilvl w:val="0"/>
          <w:numId w:val="0"/>
        </w:numPr>
      </w:pPr>
      <w:bookmarkStart w:id="4" w:name="_Toc360804357"/>
      <w:bookmarkStart w:id="5" w:name="_Toc501397087"/>
      <w:r>
        <w:t>2. Διαδικασίες επιλογής προσωπικού και συλλογικό πνεύμα αξιοκρατίας</w:t>
      </w:r>
      <w:bookmarkEnd w:id="4"/>
      <w:bookmarkEnd w:id="5"/>
    </w:p>
    <w:p w:rsidR="0068108F" w:rsidRDefault="0068108F" w:rsidP="006D364B">
      <w:pPr>
        <w:rPr>
          <w:sz w:val="22"/>
        </w:rPr>
      </w:pPr>
      <w:r>
        <w:rPr>
          <w:sz w:val="22"/>
        </w:rPr>
        <w:t xml:space="preserve">Η βασική ταξινόμηση των μεθόδων επιλογής της δημοσιοϋπαλληλίας, όπως εντοπίζεται σχετικά (Χρυσανθάκης, </w:t>
      </w:r>
      <w:r w:rsidRPr="000F7EE4">
        <w:rPr>
          <w:sz w:val="22"/>
        </w:rPr>
        <w:t>2007</w:t>
      </w:r>
      <w:r>
        <w:rPr>
          <w:sz w:val="22"/>
        </w:rPr>
        <w:t>, σσ. 55-56</w:t>
      </w:r>
      <w:r>
        <w:rPr>
          <w:sz w:val="22"/>
        </w:rPr>
        <w:sym w:font="Wingdings" w:char="F09E"/>
      </w:r>
      <w:r>
        <w:rPr>
          <w:sz w:val="22"/>
        </w:rPr>
        <w:t xml:space="preserve"> Χρυσανθάκης, 2001, σσ. 48-60) είναι η ακόλουθη: α) επιλογή από τον προϊστάμενο της οργανικής μονάδας, β) επιλογή από σώμα εκλεκτόρων, γ) επιλογή από ειδικά συγκροτούμενο όργανο, δ) αποφοίτηση από παραγωγική σχολή, ε) «αυτόματη» επιλογή βάσει τυπικών κριτηρίων και, στ) επιλογή με γραπτό διαγωνισμό. Σε κάθε μια περίπτωση, οι μέθοδοι χρειάζεται να βασίζονται στις αρχές της δημοσιότητας, της διαφάνειας της διαδικασίας και της αμεροληψίας των οργάνων επιλογής</w:t>
      </w:r>
      <w:r w:rsidRPr="008F0F5A">
        <w:rPr>
          <w:sz w:val="22"/>
        </w:rPr>
        <w:t xml:space="preserve"> </w:t>
      </w:r>
      <w:r>
        <w:rPr>
          <w:sz w:val="22"/>
        </w:rPr>
        <w:t xml:space="preserve">(Χρυσανθάκης, 1995, σ. 103). </w:t>
      </w:r>
    </w:p>
    <w:p w:rsidR="0068108F" w:rsidRDefault="0068108F" w:rsidP="006D364B">
      <w:pPr>
        <w:rPr>
          <w:sz w:val="22"/>
        </w:rPr>
      </w:pPr>
    </w:p>
    <w:p w:rsidR="0068108F" w:rsidRDefault="0068108F" w:rsidP="006D364B">
      <w:pPr>
        <w:rPr>
          <w:sz w:val="22"/>
        </w:rPr>
      </w:pPr>
      <w:r>
        <w:rPr>
          <w:sz w:val="22"/>
        </w:rPr>
        <w:t xml:space="preserve">Περαιτέρω, οι ανωτέρω διαδικασίες είναι σημαντικό να συνδέονται και με την αρχή της αξιοκρατίας, η οποία κρίνεται </w:t>
      </w:r>
      <w:r w:rsidRPr="0032493B">
        <w:rPr>
          <w:sz w:val="22"/>
        </w:rPr>
        <w:t>θεμελιώδης για τη γραφειοκρατία</w:t>
      </w:r>
      <w:r w:rsidRPr="008F0F5A">
        <w:t xml:space="preserve"> </w:t>
      </w:r>
      <w:r>
        <w:t>(</w:t>
      </w:r>
      <w:r w:rsidRPr="008F0F5A">
        <w:rPr>
          <w:sz w:val="22"/>
        </w:rPr>
        <w:t>Chan, 2010</w:t>
      </w:r>
      <w:r>
        <w:rPr>
          <w:sz w:val="22"/>
        </w:rPr>
        <w:t>, σ. 302)</w:t>
      </w:r>
      <w:r>
        <w:rPr>
          <w:rStyle w:val="FootnoteReference"/>
          <w:sz w:val="22"/>
        </w:rPr>
        <w:footnoteReference w:id="2"/>
      </w:r>
      <w:r>
        <w:rPr>
          <w:sz w:val="22"/>
        </w:rPr>
        <w:t>. Το περιεχόμενο της εν λόγω αρχής σχετίζεται με τη διαφανή προτίμηση</w:t>
      </w:r>
      <w:r w:rsidRPr="00C65400">
        <w:rPr>
          <w:sz w:val="22"/>
        </w:rPr>
        <w:t xml:space="preserve"> και </w:t>
      </w:r>
      <w:r>
        <w:rPr>
          <w:sz w:val="22"/>
        </w:rPr>
        <w:t>επιβράβευση των ουσιαστικών αρετών και ικανοτήτων των εργαζομένων</w:t>
      </w:r>
      <w:r>
        <w:rPr>
          <w:rStyle w:val="FootnoteReference"/>
          <w:sz w:val="22"/>
        </w:rPr>
        <w:footnoteReference w:id="3"/>
      </w:r>
      <w:r w:rsidRPr="00483436">
        <w:rPr>
          <w:sz w:val="22"/>
        </w:rPr>
        <w:t>.</w:t>
      </w:r>
      <w:r>
        <w:rPr>
          <w:sz w:val="22"/>
        </w:rPr>
        <w:t xml:space="preserve"> Μεταξύ των ανωτέρω μεθόδων επιλογής, ο γραπτός διαγωνισμός, παρά τις αδυναμίες του</w:t>
      </w:r>
      <w:r>
        <w:rPr>
          <w:rStyle w:val="FootnoteReference"/>
          <w:sz w:val="22"/>
        </w:rPr>
        <w:footnoteReference w:id="4"/>
      </w:r>
      <w:r>
        <w:rPr>
          <w:sz w:val="22"/>
        </w:rPr>
        <w:t>, είτε αυτοτελώς είτε σε συνδυασμό με τη διενέργεια προφορικής συνέντευξης, θεωρείται ότι εξασφαλίζει περισσότερο από κάθε άλλη μέθοδο την ισότητα ευκαιριών μεταξύ των υποψηφίων και, ταυτόχρονα, δίνει «</w:t>
      </w:r>
      <w:r w:rsidRPr="005E2909">
        <w:rPr>
          <w:i/>
          <w:sz w:val="22"/>
        </w:rPr>
        <w:t>τη δυνατότητα της επιλογής των, κατά τεκμήριο, πιο ικανών και κατάλληλων για την άσκηση των καθηκόντων του δημοσίου υπαλλήλου ενός ορισμένου κλάδου</w:t>
      </w:r>
      <w:r>
        <w:rPr>
          <w:sz w:val="22"/>
        </w:rPr>
        <w:t>»</w:t>
      </w:r>
      <w:r>
        <w:t xml:space="preserve"> </w:t>
      </w:r>
      <w:r>
        <w:rPr>
          <w:sz w:val="22"/>
        </w:rPr>
        <w:t xml:space="preserve">(Χρυσανθάκης, </w:t>
      </w:r>
      <w:r w:rsidRPr="00D15AA0">
        <w:rPr>
          <w:sz w:val="22"/>
        </w:rPr>
        <w:t>2007</w:t>
      </w:r>
      <w:r>
        <w:rPr>
          <w:sz w:val="22"/>
        </w:rPr>
        <w:t>, σ. 56).</w:t>
      </w:r>
    </w:p>
    <w:p w:rsidR="0068108F" w:rsidRDefault="0068108F" w:rsidP="006D364B">
      <w:pPr>
        <w:rPr>
          <w:sz w:val="22"/>
        </w:rPr>
      </w:pPr>
    </w:p>
    <w:p w:rsidR="0068108F" w:rsidRDefault="0068108F" w:rsidP="006D364B">
      <w:pPr>
        <w:rPr>
          <w:sz w:val="22"/>
        </w:rPr>
      </w:pPr>
      <w:r>
        <w:rPr>
          <w:sz w:val="22"/>
        </w:rPr>
        <w:t>Σε κάθε περίπτωση, η αξιοκρατία διακρίνεται από το στοιχείο της αξιολόγησης της καταλληλότητας του προσωπικού. Ποιά όμως ήταν η χρήση του περιεχομένου της αρχής της αξιοκρατίας στο πλαίσιο της πολιτικής για την επιλογή και πρόσληψη ανθρώπινου δυναμικού που διαμορφώθηκε και υλοποιήθηκε κατά την περίοδο 1951-2017; Ποιές διαδικασίες επιλογής ανθρώπινων πόρων για απασχόληση στο δημόσιο προκρίθηκαν και ποιοί θεσμοί δημιουργήθηκαν για να υπηρετήσουν το επιζητούμενο της αξιοκρατικής επιλογής; Οι απαντήσεις επιχειρείται να δοθούν στην επόμενη ενότητα.</w:t>
      </w:r>
    </w:p>
    <w:p w:rsidR="0068108F" w:rsidRDefault="0068108F" w:rsidP="00EF689D">
      <w:pPr>
        <w:rPr>
          <w:sz w:val="22"/>
        </w:rPr>
      </w:pPr>
    </w:p>
    <w:p w:rsidR="0068108F" w:rsidRPr="00841D2F" w:rsidRDefault="0068108F" w:rsidP="006E3320">
      <w:pPr>
        <w:pStyle w:val="Heading1"/>
        <w:numPr>
          <w:ilvl w:val="0"/>
          <w:numId w:val="0"/>
        </w:numPr>
      </w:pPr>
      <w:bookmarkStart w:id="6" w:name="_Toc360804358"/>
      <w:bookmarkStart w:id="7" w:name="_Toc501397088"/>
      <w:r>
        <w:t xml:space="preserve">3. Όψεις της πολιτικής για την επιλογή </w:t>
      </w:r>
      <w:bookmarkEnd w:id="6"/>
      <w:r>
        <w:t>ανθρώπινου δυναμικού</w:t>
      </w:r>
      <w:bookmarkEnd w:id="7"/>
    </w:p>
    <w:p w:rsidR="0068108F" w:rsidRDefault="0068108F" w:rsidP="006D364B">
      <w:pPr>
        <w:rPr>
          <w:sz w:val="22"/>
        </w:rPr>
      </w:pPr>
      <w:r>
        <w:rPr>
          <w:sz w:val="22"/>
        </w:rPr>
        <w:t xml:space="preserve">Καθ’ όλη τη διάρκεια της περιόδου 1951-2017 οι πολιτικές επιλογής προσωπικού συγκροτούνται γύρω από ένα σημαίνον αιτούμενο: τον αξιοκρατικό εξορθολογισμό του συστήματος επιλογής ανθρώπινου δυναμικού. Η εξυπηρέτησή του προωθείται τόσο μέσω της </w:t>
      </w:r>
      <w:r w:rsidRPr="00F769F8">
        <w:rPr>
          <w:sz w:val="22"/>
        </w:rPr>
        <w:t xml:space="preserve">ίδρυσης </w:t>
      </w:r>
      <w:r>
        <w:rPr>
          <w:sz w:val="22"/>
        </w:rPr>
        <w:t xml:space="preserve">τυπικών </w:t>
      </w:r>
      <w:r w:rsidRPr="00F769F8">
        <w:rPr>
          <w:sz w:val="22"/>
        </w:rPr>
        <w:t>θεσμών με βαθμούς ανεξαρτ</w:t>
      </w:r>
      <w:r>
        <w:rPr>
          <w:sz w:val="22"/>
        </w:rPr>
        <w:t xml:space="preserve">ησίας από το πολιτικό σύστημα, όσο και με την υιοθέτηση </w:t>
      </w:r>
      <w:r w:rsidRPr="00F769F8">
        <w:rPr>
          <w:sz w:val="22"/>
        </w:rPr>
        <w:t>μείγματος πολιτικών</w:t>
      </w:r>
      <w:r>
        <w:rPr>
          <w:sz w:val="22"/>
        </w:rPr>
        <w:t xml:space="preserve"> επιλογής προσωπικού αναφορικά με τις διαδικασίες επιλογής.</w:t>
      </w:r>
    </w:p>
    <w:bookmarkEnd w:id="0"/>
    <w:bookmarkEnd w:id="1"/>
    <w:p w:rsidR="0068108F" w:rsidRPr="005D1CB8" w:rsidRDefault="0068108F" w:rsidP="002C7A23"/>
    <w:p w:rsidR="0068108F" w:rsidRPr="002C7A23" w:rsidRDefault="0068108F" w:rsidP="006E3320">
      <w:pPr>
        <w:pStyle w:val="Heading1"/>
        <w:numPr>
          <w:ilvl w:val="0"/>
          <w:numId w:val="0"/>
        </w:numPr>
      </w:pPr>
      <w:bookmarkStart w:id="8" w:name="_Toc360804359"/>
      <w:bookmarkStart w:id="9" w:name="_Toc501397089"/>
      <w:r>
        <w:t>3.1. Η περίοδος 1951-1974</w:t>
      </w:r>
      <w:bookmarkEnd w:id="8"/>
      <w:bookmarkEnd w:id="9"/>
    </w:p>
    <w:p w:rsidR="0068108F" w:rsidRDefault="0068108F" w:rsidP="006D364B">
      <w:pPr>
        <w:rPr>
          <w:sz w:val="22"/>
        </w:rPr>
      </w:pPr>
      <w:r>
        <w:rPr>
          <w:sz w:val="22"/>
        </w:rPr>
        <w:t>Μεταξύ των ετών 1940-1951</w:t>
      </w:r>
      <w:r>
        <w:rPr>
          <w:sz w:val="22"/>
          <w:vertAlign w:val="superscript"/>
        </w:rPr>
        <w:t xml:space="preserve"> </w:t>
      </w:r>
      <w:r>
        <w:rPr>
          <w:sz w:val="22"/>
        </w:rPr>
        <w:t xml:space="preserve">οι προσλήψεις ανθρώπινου δυναμικού γίνονταν χωρίς διαγωνισμό και άνευ απαιτήσεων ιδιαίτερων προσόντων (Σπανού, </w:t>
      </w:r>
      <w:r w:rsidRPr="00875014">
        <w:rPr>
          <w:sz w:val="22"/>
        </w:rPr>
        <w:t>1995, σσ. 71-72)</w:t>
      </w:r>
      <w:r w:rsidRPr="00A97B33">
        <w:rPr>
          <w:rStyle w:val="FootnoteReference"/>
          <w:sz w:val="22"/>
        </w:rPr>
        <w:footnoteReference w:id="5"/>
      </w:r>
      <w:r>
        <w:rPr>
          <w:sz w:val="22"/>
        </w:rPr>
        <w:t>. Ο πρώτος υπαλληλικός κώδικας που ίσχυσε από το 1951</w:t>
      </w:r>
      <w:r>
        <w:rPr>
          <w:rStyle w:val="FootnoteReference"/>
          <w:sz w:val="22"/>
        </w:rPr>
        <w:footnoteReference w:id="6"/>
      </w:r>
      <w:r>
        <w:rPr>
          <w:sz w:val="22"/>
        </w:rPr>
        <w:t xml:space="preserve"> καθιέρωνε το διαγωνισμό</w:t>
      </w:r>
      <w:r>
        <w:rPr>
          <w:rStyle w:val="FootnoteReference"/>
          <w:sz w:val="22"/>
        </w:rPr>
        <w:footnoteReference w:id="7"/>
      </w:r>
      <w:r>
        <w:rPr>
          <w:sz w:val="22"/>
        </w:rPr>
        <w:t xml:space="preserve"> ως γενικό κανόνα επιλογής υπό την εποπτεία ενός νεοιδρυθέντος θεσμού, του Ανωτάτου Συμβουλίου Δημοσίων Υπαλλήλων (Α.Σ.Δ.Υ.). Παράλληλα, προέβλεπε τη δυνατότητα ορισμένων εξαιρέσεων</w:t>
      </w:r>
      <w:r>
        <w:rPr>
          <w:rStyle w:val="FootnoteReference"/>
          <w:sz w:val="22"/>
        </w:rPr>
        <w:footnoteReference w:id="8"/>
      </w:r>
      <w:r>
        <w:rPr>
          <w:sz w:val="22"/>
        </w:rPr>
        <w:t>. Το Α.Σ.Δ.Υ. θεσπίστηκε ως ανεξάρτητη δημόσια υπηρεσία, υπάχθηκε απ’ ευθείας στον Πρωθυπουργό και συγκροτήθηκε έχοντας ενδεκαμελή σύνθεση</w:t>
      </w:r>
      <w:r>
        <w:rPr>
          <w:rStyle w:val="FootnoteReference"/>
          <w:sz w:val="22"/>
        </w:rPr>
        <w:footnoteReference w:id="9"/>
      </w:r>
      <w:r>
        <w:rPr>
          <w:sz w:val="22"/>
        </w:rPr>
        <w:t>. Οι αρμοδιότητές του ήταν κυρίως γνωμοδοτικού χαρακτήρα</w:t>
      </w:r>
      <w:r>
        <w:rPr>
          <w:rStyle w:val="FootnoteReference"/>
          <w:sz w:val="22"/>
        </w:rPr>
        <w:footnoteReference w:id="10"/>
      </w:r>
      <w:r>
        <w:rPr>
          <w:sz w:val="22"/>
        </w:rPr>
        <w:t xml:space="preserve">, αλλά αφορούσαν και θέματα επιλογής προσωπικού, επίβλεψης διαγωνισμών αλλά και επεξεργασίας των συναφών διαδικασιών (Σπανού, 1995, σ. 73). </w:t>
      </w:r>
    </w:p>
    <w:p w:rsidR="0068108F" w:rsidRDefault="0068108F" w:rsidP="006D364B">
      <w:pPr>
        <w:rPr>
          <w:sz w:val="22"/>
        </w:rPr>
      </w:pPr>
    </w:p>
    <w:p w:rsidR="0068108F" w:rsidRPr="00070AC8" w:rsidRDefault="0068108F" w:rsidP="006D364B">
      <w:pPr>
        <w:rPr>
          <w:sz w:val="22"/>
        </w:rPr>
      </w:pPr>
      <w:r>
        <w:rPr>
          <w:sz w:val="22"/>
        </w:rPr>
        <w:t>Σχετικά με τους διαγωνισμούς, αυτοί διεξάγονταν κατά υπηρεσία ή υπουργείο ενώ υπήρχε και η δυνατότητα για κοινούς διαγωνισμούς</w:t>
      </w:r>
      <w:r>
        <w:rPr>
          <w:rStyle w:val="FootnoteReference"/>
          <w:sz w:val="22"/>
        </w:rPr>
        <w:footnoteReference w:id="11"/>
      </w:r>
      <w:r>
        <w:rPr>
          <w:sz w:val="22"/>
        </w:rPr>
        <w:t>. Η εξεταστική επιτροπή αποτελούνταν από μόνιμους δημόσιους υπαλλήλους κατόπιν συγκρότησης από το Α.Σ.Δ.Υ. Συνολικά, η θεσμοθέτηση του Α.Σ.Δ.Υ. εξυπηρετούσε ως ένα βαθμό τη λογική του αιτούμενου, ήτοι της αξιοκρατικής πρόσληψης. Υπό αυτούς τους όρους, η ίδρυσή του εμφανίζεται να αποτελεί κομβικό σημείο (</w:t>
      </w:r>
      <w:r>
        <w:rPr>
          <w:sz w:val="22"/>
          <w:lang w:val="en-US"/>
        </w:rPr>
        <w:t>Collier</w:t>
      </w:r>
      <w:r w:rsidRPr="00875014">
        <w:rPr>
          <w:sz w:val="22"/>
        </w:rPr>
        <w:t xml:space="preserve"> </w:t>
      </w:r>
      <w:r>
        <w:rPr>
          <w:sz w:val="22"/>
        </w:rPr>
        <w:t xml:space="preserve">και </w:t>
      </w:r>
      <w:r>
        <w:rPr>
          <w:sz w:val="22"/>
          <w:lang w:val="en-US"/>
        </w:rPr>
        <w:t>Collier</w:t>
      </w:r>
      <w:r w:rsidRPr="00875014">
        <w:rPr>
          <w:sz w:val="22"/>
        </w:rPr>
        <w:t>, 1991</w:t>
      </w:r>
      <w:r>
        <w:rPr>
          <w:sz w:val="22"/>
        </w:rPr>
        <w:t>) για την αλλαγή εμπεδωμένων διαδικασιών που εμπεριείχαν στοιχεία ευνοιοκρατικής επιλογής και πρόσληψης προσωπικού στις δημόσιες υπηρεσίες, επιχειρώντας να μεταβάλλει το εν λόγω πλαίσιο</w:t>
      </w:r>
      <w:r w:rsidRPr="00070AC8">
        <w:rPr>
          <w:sz w:val="22"/>
        </w:rPr>
        <w:t xml:space="preserve">, </w:t>
      </w:r>
      <w:r>
        <w:rPr>
          <w:sz w:val="22"/>
        </w:rPr>
        <w:t>τις συνθήκες που το χαρακτήριζαν</w:t>
      </w:r>
      <w:r w:rsidRPr="00070AC8">
        <w:rPr>
          <w:sz w:val="22"/>
        </w:rPr>
        <w:t xml:space="preserve"> </w:t>
      </w:r>
      <w:r>
        <w:rPr>
          <w:sz w:val="22"/>
        </w:rPr>
        <w:t>και την κληρονομιά (</w:t>
      </w:r>
      <w:r>
        <w:rPr>
          <w:sz w:val="22"/>
          <w:lang w:val="en-US"/>
        </w:rPr>
        <w:t>legacy</w:t>
      </w:r>
      <w:r>
        <w:rPr>
          <w:sz w:val="22"/>
        </w:rPr>
        <w:t>) που το συνόδευε.</w:t>
      </w:r>
    </w:p>
    <w:p w:rsidR="0068108F" w:rsidRDefault="0068108F" w:rsidP="006D364B">
      <w:pPr>
        <w:rPr>
          <w:sz w:val="22"/>
        </w:rPr>
      </w:pPr>
    </w:p>
    <w:p w:rsidR="0068108F" w:rsidRDefault="0068108F" w:rsidP="006D364B">
      <w:pPr>
        <w:rPr>
          <w:sz w:val="22"/>
        </w:rPr>
      </w:pPr>
      <w:r>
        <w:rPr>
          <w:sz w:val="22"/>
        </w:rPr>
        <w:t>Εν τούτοις, μια σειρά ενεργειών άρχισαν να αίρουν το ρόλο του Α.Σ.Δ.Υ.</w:t>
      </w:r>
      <w:r>
        <w:rPr>
          <w:rStyle w:val="FootnoteReference"/>
          <w:sz w:val="22"/>
        </w:rPr>
        <w:footnoteReference w:id="12"/>
      </w:r>
      <w:r>
        <w:rPr>
          <w:sz w:val="22"/>
        </w:rPr>
        <w:t xml:space="preserve"> οδηγώντας σε φθίνουσα πορεία το θεσμό. Ενδεικτικά, το 1953 επιχειρήθηκε</w:t>
      </w:r>
      <w:r w:rsidRPr="00CC17ED">
        <w:rPr>
          <w:sz w:val="22"/>
        </w:rPr>
        <w:t xml:space="preserve"> </w:t>
      </w:r>
      <w:r>
        <w:rPr>
          <w:sz w:val="22"/>
        </w:rPr>
        <w:t xml:space="preserve">σημαντική </w:t>
      </w:r>
      <w:r w:rsidRPr="00CC17ED">
        <w:rPr>
          <w:sz w:val="22"/>
        </w:rPr>
        <w:t xml:space="preserve">μείωση του </w:t>
      </w:r>
      <w:r>
        <w:rPr>
          <w:sz w:val="22"/>
        </w:rPr>
        <w:t xml:space="preserve">απόλυτου </w:t>
      </w:r>
      <w:r w:rsidRPr="00CC17ED">
        <w:rPr>
          <w:sz w:val="22"/>
        </w:rPr>
        <w:t xml:space="preserve">αριθμού του προσωπικού, με κριτήριο </w:t>
      </w:r>
      <w:r>
        <w:rPr>
          <w:sz w:val="22"/>
        </w:rPr>
        <w:t>τη μισθολογική δαπάνη η οποία</w:t>
      </w:r>
      <w:r w:rsidRPr="00CC17ED">
        <w:rPr>
          <w:sz w:val="22"/>
        </w:rPr>
        <w:t xml:space="preserve"> δε θα έπρεπε να υπερβαίνει </w:t>
      </w:r>
      <w:r>
        <w:rPr>
          <w:sz w:val="22"/>
        </w:rPr>
        <w:t xml:space="preserve">το 85% </w:t>
      </w:r>
      <w:r w:rsidRPr="00CC17ED">
        <w:rPr>
          <w:sz w:val="22"/>
        </w:rPr>
        <w:t>τη</w:t>
      </w:r>
      <w:r>
        <w:rPr>
          <w:sz w:val="22"/>
        </w:rPr>
        <w:t>ς</w:t>
      </w:r>
      <w:r w:rsidRPr="00CC17ED">
        <w:rPr>
          <w:sz w:val="22"/>
        </w:rPr>
        <w:t xml:space="preserve"> συνολική</w:t>
      </w:r>
      <w:r>
        <w:rPr>
          <w:sz w:val="22"/>
        </w:rPr>
        <w:t>ς</w:t>
      </w:r>
      <w:r w:rsidRPr="00CC17ED">
        <w:rPr>
          <w:sz w:val="22"/>
        </w:rPr>
        <w:t xml:space="preserve"> ετήσια</w:t>
      </w:r>
      <w:r>
        <w:rPr>
          <w:sz w:val="22"/>
        </w:rPr>
        <w:t>ς</w:t>
      </w:r>
      <w:r w:rsidRPr="00CC17ED">
        <w:rPr>
          <w:sz w:val="22"/>
        </w:rPr>
        <w:t xml:space="preserve"> </w:t>
      </w:r>
      <w:r>
        <w:rPr>
          <w:sz w:val="22"/>
        </w:rPr>
        <w:t xml:space="preserve">προϋπολογισθείσας </w:t>
      </w:r>
      <w:r w:rsidRPr="00CC17ED">
        <w:rPr>
          <w:sz w:val="22"/>
        </w:rPr>
        <w:t>δαπάνη</w:t>
      </w:r>
      <w:r>
        <w:rPr>
          <w:sz w:val="22"/>
        </w:rPr>
        <w:t>ς</w:t>
      </w:r>
      <w:r w:rsidRPr="00CC17ED">
        <w:rPr>
          <w:sz w:val="22"/>
        </w:rPr>
        <w:t xml:space="preserve"> κάθε Υπουργείου</w:t>
      </w:r>
      <w:r>
        <w:rPr>
          <w:rStyle w:val="FootnoteReference"/>
          <w:sz w:val="22"/>
        </w:rPr>
        <w:footnoteReference w:id="13"/>
      </w:r>
      <w:r w:rsidRPr="00CC17ED">
        <w:rPr>
          <w:sz w:val="22"/>
        </w:rPr>
        <w:t xml:space="preserve">. </w:t>
      </w:r>
      <w:r>
        <w:rPr>
          <w:sz w:val="22"/>
        </w:rPr>
        <w:t>Σε αυτό το πλαίσιο</w:t>
      </w:r>
      <w:r w:rsidRPr="00CC17ED">
        <w:rPr>
          <w:sz w:val="22"/>
        </w:rPr>
        <w:t xml:space="preserve">, </w:t>
      </w:r>
      <w:r>
        <w:rPr>
          <w:sz w:val="22"/>
        </w:rPr>
        <w:t>προωθήθηκε</w:t>
      </w:r>
      <w:r w:rsidRPr="00CC17ED">
        <w:rPr>
          <w:sz w:val="22"/>
        </w:rPr>
        <w:t xml:space="preserve"> η κατάργηση πλεοναζουσών </w:t>
      </w:r>
      <w:r>
        <w:rPr>
          <w:sz w:val="22"/>
        </w:rPr>
        <w:t xml:space="preserve">μόνιμων και μετακλητών </w:t>
      </w:r>
      <w:r w:rsidRPr="00CC17ED">
        <w:rPr>
          <w:sz w:val="22"/>
        </w:rPr>
        <w:t xml:space="preserve">θέσεων εργασίας και η απόλυση υπαλλήλων κατόπιν αιτιολογημένης απόφασης των Υπηρεσιακών Συμβουλίων βάσει </w:t>
      </w:r>
      <w:r>
        <w:rPr>
          <w:sz w:val="22"/>
        </w:rPr>
        <w:t>σχετικής αξιολόγησης</w:t>
      </w:r>
      <w:r>
        <w:rPr>
          <w:rStyle w:val="FootnoteReference"/>
          <w:sz w:val="22"/>
        </w:rPr>
        <w:footnoteReference w:id="14"/>
      </w:r>
      <w:r>
        <w:rPr>
          <w:sz w:val="22"/>
        </w:rPr>
        <w:t xml:space="preserve">. Στις ανωτέρω διαδικασίες δεν υπήρξε πρόβλεψη για ουσιαστική συνεισφορά του Α.Σ.Δ.Υ. </w:t>
      </w:r>
    </w:p>
    <w:p w:rsidR="0068108F" w:rsidRDefault="0068108F" w:rsidP="006D364B">
      <w:pPr>
        <w:rPr>
          <w:sz w:val="22"/>
        </w:rPr>
      </w:pPr>
    </w:p>
    <w:p w:rsidR="0068108F" w:rsidRDefault="0068108F" w:rsidP="006D364B">
      <w:pPr>
        <w:rPr>
          <w:sz w:val="22"/>
        </w:rPr>
      </w:pPr>
      <w:r>
        <w:rPr>
          <w:sz w:val="22"/>
        </w:rPr>
        <w:t>Συναφώς, το 1960</w:t>
      </w:r>
      <w:r w:rsidRPr="00D11D0E">
        <w:rPr>
          <w:sz w:val="22"/>
        </w:rPr>
        <w:t xml:space="preserve"> </w:t>
      </w:r>
      <w:r>
        <w:rPr>
          <w:sz w:val="22"/>
        </w:rPr>
        <w:t>κατόπιν υπουργικής απόφασης προσλήφθηκε προσωπικό κατά παρέκκλιση των σχετικών διατάξεων</w:t>
      </w:r>
      <w:r>
        <w:rPr>
          <w:rStyle w:val="FootnoteReference"/>
          <w:sz w:val="22"/>
        </w:rPr>
        <w:footnoteReference w:id="15"/>
      </w:r>
      <w:r>
        <w:rPr>
          <w:sz w:val="22"/>
        </w:rPr>
        <w:t>, ενώ το 1961 αφ’ ενός επαναπροσλήφθηκε προσωπικό το οποίο είχε προηγουμένως απολυθεί το 1953</w:t>
      </w:r>
      <w:r>
        <w:rPr>
          <w:rStyle w:val="FootnoteReference"/>
          <w:sz w:val="22"/>
        </w:rPr>
        <w:footnoteReference w:id="16"/>
      </w:r>
      <w:r>
        <w:rPr>
          <w:sz w:val="22"/>
        </w:rPr>
        <w:t xml:space="preserve">, αφ’ ετέρου </w:t>
      </w:r>
      <w:r w:rsidRPr="006860A5">
        <w:rPr>
          <w:sz w:val="22"/>
        </w:rPr>
        <w:t xml:space="preserve">διαρκούς φύσεως υπηρεσιακές ανάγκες που καλύπτονταν από μη τακτικό προσωπικό </w:t>
      </w:r>
      <w:r>
        <w:rPr>
          <w:sz w:val="22"/>
        </w:rPr>
        <w:t>προβλέφθηκε να καλυφθούν,</w:t>
      </w:r>
      <w:r w:rsidRPr="006860A5">
        <w:rPr>
          <w:sz w:val="22"/>
        </w:rPr>
        <w:t xml:space="preserve"> από το εν λόγω προσωπικό</w:t>
      </w:r>
      <w:r>
        <w:rPr>
          <w:rStyle w:val="FootnoteReference"/>
          <w:sz w:val="22"/>
        </w:rPr>
        <w:footnoteReference w:id="17"/>
      </w:r>
      <w:r>
        <w:rPr>
          <w:sz w:val="22"/>
        </w:rPr>
        <w:t xml:space="preserve">. Όμοια, το 1969 προβλέφθηκε </w:t>
      </w:r>
      <w:r w:rsidRPr="00DB429E">
        <w:rPr>
          <w:sz w:val="22"/>
        </w:rPr>
        <w:t>ο διορισμός εκτάκτων υπαλλήλων δημοσίου ή ιδιωτικού δικαίου σε υφιστάμενες κενές τακτικές θέσεις ή συνιστώμενες γι' αυτό το σκοπό</w:t>
      </w:r>
      <w:r>
        <w:rPr>
          <w:rStyle w:val="FootnoteReference"/>
          <w:sz w:val="22"/>
        </w:rPr>
        <w:footnoteReference w:id="18"/>
      </w:r>
      <w:r w:rsidRPr="00DB429E">
        <w:rPr>
          <w:sz w:val="22"/>
        </w:rPr>
        <w:t>.</w:t>
      </w:r>
      <w:r>
        <w:rPr>
          <w:sz w:val="22"/>
        </w:rPr>
        <w:t xml:space="preserve"> </w:t>
      </w:r>
    </w:p>
    <w:p w:rsidR="0068108F" w:rsidRDefault="0068108F" w:rsidP="006D364B">
      <w:pPr>
        <w:rPr>
          <w:sz w:val="22"/>
        </w:rPr>
      </w:pPr>
    </w:p>
    <w:p w:rsidR="0068108F" w:rsidRDefault="0068108F" w:rsidP="006D364B">
      <w:pPr>
        <w:rPr>
          <w:sz w:val="22"/>
        </w:rPr>
      </w:pPr>
      <w:r>
        <w:rPr>
          <w:sz w:val="22"/>
        </w:rPr>
        <w:t>Οι ανωτέρω ενδεικτικές παρακάμψεις του Α.Σ.Δ.Υ. είχαν ως αποτέλεσμα τη σταδιακή αποδόμηση της θεσμικής ισχύος του. Έτσι, αρχικά το 1965 το Α.Σ.Δ.Υ. συνδέθηκε με τη Γενική Διεύθυνση Διοικητικής Οργάνωσης (Γ.Δ.Δ.Ο.)</w:t>
      </w:r>
      <w:r>
        <w:rPr>
          <w:rStyle w:val="FootnoteReference"/>
          <w:sz w:val="22"/>
        </w:rPr>
        <w:footnoteReference w:id="19"/>
      </w:r>
      <w:r>
        <w:rPr>
          <w:sz w:val="22"/>
        </w:rPr>
        <w:t xml:space="preserve"> του Υπουργείου Συντονισμού. Τελικά, δεδομένων και μεταβολών διοικητικής φύσεως</w:t>
      </w:r>
      <w:r>
        <w:rPr>
          <w:rStyle w:val="FootnoteReference"/>
          <w:sz w:val="22"/>
        </w:rPr>
        <w:footnoteReference w:id="20"/>
      </w:r>
      <w:r>
        <w:rPr>
          <w:sz w:val="22"/>
        </w:rPr>
        <w:t>, το Α.Σ.Δ.Υ. καταργήθηκε ως αυτοτελής θεσμός το 1974</w:t>
      </w:r>
      <w:r>
        <w:rPr>
          <w:rStyle w:val="FootnoteReference"/>
          <w:sz w:val="22"/>
        </w:rPr>
        <w:footnoteReference w:id="21"/>
      </w:r>
      <w:r>
        <w:rPr>
          <w:sz w:val="22"/>
        </w:rPr>
        <w:t>.</w:t>
      </w:r>
    </w:p>
    <w:p w:rsidR="0068108F" w:rsidRDefault="0068108F" w:rsidP="00506436">
      <w:pPr>
        <w:rPr>
          <w:sz w:val="22"/>
        </w:rPr>
      </w:pPr>
    </w:p>
    <w:p w:rsidR="0068108F" w:rsidRPr="002C7A23" w:rsidRDefault="0068108F" w:rsidP="006E3320">
      <w:pPr>
        <w:pStyle w:val="Heading1"/>
        <w:numPr>
          <w:ilvl w:val="0"/>
          <w:numId w:val="0"/>
        </w:numPr>
      </w:pPr>
      <w:bookmarkStart w:id="10" w:name="_Toc360804360"/>
      <w:bookmarkStart w:id="11" w:name="_Toc501397090"/>
      <w:r>
        <w:t>3.2. Η περίοδος 197</w:t>
      </w:r>
      <w:r w:rsidRPr="009A44D5">
        <w:t>5</w:t>
      </w:r>
      <w:r>
        <w:t>-199</w:t>
      </w:r>
      <w:r w:rsidRPr="009A44D5">
        <w:t>3</w:t>
      </w:r>
      <w:bookmarkEnd w:id="10"/>
      <w:bookmarkEnd w:id="11"/>
    </w:p>
    <w:p w:rsidR="0068108F" w:rsidRDefault="0068108F" w:rsidP="006D364B">
      <w:pPr>
        <w:rPr>
          <w:sz w:val="22"/>
        </w:rPr>
      </w:pPr>
      <w:r>
        <w:rPr>
          <w:sz w:val="22"/>
        </w:rPr>
        <w:t>Η κατάργηση του Α.Σ.Δ.Υ. το 1974 δε σήμανε την αντικατάστασή του από θεσμό αντίστοιχου βαθμού θεσμικής ανεξαρτησίας. Αρχικά, τα συναφή με την επιλογή προσωπικού θέματα πέρασαν στην αρμοδιότητα του επανασυσταθέντος Υπουργείου Προεδρίας της Κυβέρνησης</w:t>
      </w:r>
      <w:r>
        <w:rPr>
          <w:rStyle w:val="FootnoteReference"/>
          <w:sz w:val="22"/>
        </w:rPr>
        <w:footnoteReference w:id="22"/>
      </w:r>
      <w:r>
        <w:rPr>
          <w:sz w:val="22"/>
        </w:rPr>
        <w:t xml:space="preserve">, ενώ </w:t>
      </w:r>
      <w:r w:rsidRPr="006E3C89">
        <w:rPr>
          <w:sz w:val="22"/>
        </w:rPr>
        <w:t xml:space="preserve">στα τέλη του 1975 τα ειδικότερα θέματα των διαδικασιών επιλογής, διεξαγωγής </w:t>
      </w:r>
      <w:r>
        <w:rPr>
          <w:sz w:val="22"/>
        </w:rPr>
        <w:t>διαγωνισμών και διάθεσης του προσωπικού ανατέθηκαν στη Διεύθυνση Επιλογής Προσωπικού</w:t>
      </w:r>
      <w:r>
        <w:rPr>
          <w:rStyle w:val="FootnoteReference"/>
          <w:sz w:val="22"/>
        </w:rPr>
        <w:footnoteReference w:id="23"/>
      </w:r>
      <w:r>
        <w:rPr>
          <w:sz w:val="22"/>
        </w:rPr>
        <w:t>, με την πρόνοια για υποστήριξη από επταμελές Γνωμοδοτικό Συμβούλιο Δημόσιας Διοίκησης</w:t>
      </w:r>
      <w:r>
        <w:rPr>
          <w:rStyle w:val="FootnoteReference"/>
          <w:sz w:val="22"/>
        </w:rPr>
        <w:footnoteReference w:id="24"/>
      </w:r>
      <w:r>
        <w:rPr>
          <w:sz w:val="22"/>
        </w:rPr>
        <w:t>. Κατά το ίδιο έτος (1975), επαναεπιβεβαιώθηκε ο διαγωνισμός ως κεντρικό στοιχείο της διαδικασίας επιλογής προσωπικού, ακόμη και για την πρόσληψη υπαλλήλων με σύμβαση ορισμένου χρόνου</w:t>
      </w:r>
      <w:r>
        <w:rPr>
          <w:rStyle w:val="FootnoteReference"/>
          <w:sz w:val="22"/>
        </w:rPr>
        <w:footnoteReference w:id="25"/>
      </w:r>
      <w:r>
        <w:rPr>
          <w:sz w:val="22"/>
        </w:rPr>
        <w:t>. Ακόμη, προβλέφθηκε η δυνατότητα διενέργειας ειδικών ή τοπικών διαγωνισμών. Εντούτοις, δεν έλειψε η κατ’ εξαίρεση επιλογή προσωπικού μέσω διορισμού άνευ διαγωνιστικής διαδικασίας για ειδικές ή εξαιρετικές συνθήκες</w:t>
      </w:r>
      <w:r>
        <w:rPr>
          <w:rStyle w:val="FootnoteReference"/>
          <w:sz w:val="22"/>
        </w:rPr>
        <w:footnoteReference w:id="26"/>
      </w:r>
      <w:r>
        <w:rPr>
          <w:sz w:val="22"/>
        </w:rPr>
        <w:t>. Το 1976 συστάθηκε πενταμελής Κεντρική Επιτροπή Διαγωνισμών (Κ.Ε.Δ.)</w:t>
      </w:r>
      <w:r>
        <w:rPr>
          <w:rStyle w:val="FootnoteReference"/>
          <w:sz w:val="22"/>
        </w:rPr>
        <w:footnoteReference w:id="27"/>
      </w:r>
      <w:r>
        <w:rPr>
          <w:sz w:val="22"/>
        </w:rPr>
        <w:t>, με αρμοδιότητα τη διεξαγωγή των ετήσιων διαγωνισμών βάσει διαβάθμισης των προσόντων ανά κατηγορία</w:t>
      </w:r>
      <w:r>
        <w:rPr>
          <w:rStyle w:val="FootnoteReference"/>
          <w:sz w:val="22"/>
        </w:rPr>
        <w:footnoteReference w:id="28"/>
      </w:r>
      <w:r>
        <w:rPr>
          <w:sz w:val="22"/>
        </w:rPr>
        <w:t xml:space="preserve">. </w:t>
      </w:r>
    </w:p>
    <w:p w:rsidR="0068108F" w:rsidRDefault="0068108F" w:rsidP="006D364B">
      <w:pPr>
        <w:rPr>
          <w:sz w:val="22"/>
        </w:rPr>
      </w:pPr>
    </w:p>
    <w:p w:rsidR="0068108F" w:rsidRDefault="0068108F" w:rsidP="006D364B">
      <w:pPr>
        <w:rPr>
          <w:sz w:val="22"/>
        </w:rPr>
      </w:pPr>
      <w:r>
        <w:rPr>
          <w:sz w:val="22"/>
        </w:rPr>
        <w:t>Το 1977, ο</w:t>
      </w:r>
      <w:r w:rsidRPr="006A35CE">
        <w:rPr>
          <w:sz w:val="22"/>
        </w:rPr>
        <w:t xml:space="preserve"> </w:t>
      </w:r>
      <w:r>
        <w:rPr>
          <w:sz w:val="22"/>
        </w:rPr>
        <w:t>νέος δημοσιοϋπαλληλικός κώδικας</w:t>
      </w:r>
      <w:r>
        <w:rPr>
          <w:rStyle w:val="FootnoteReference"/>
          <w:sz w:val="22"/>
        </w:rPr>
        <w:footnoteReference w:id="29"/>
      </w:r>
      <w:r>
        <w:rPr>
          <w:sz w:val="22"/>
        </w:rPr>
        <w:t xml:space="preserve"> όρισε εκ νέου την αρχή του διαγωνισμού</w:t>
      </w:r>
      <w:r>
        <w:rPr>
          <w:rStyle w:val="FootnoteReference"/>
          <w:sz w:val="22"/>
        </w:rPr>
        <w:footnoteReference w:id="30"/>
      </w:r>
      <w:r>
        <w:rPr>
          <w:sz w:val="22"/>
        </w:rPr>
        <w:t xml:space="preserve"> ως βασική συνιστώσα του συστήματος επιλογής προσωπικού. Εν τούτοις, και πάλι προβλέφθηκαν παρεκκλίσεις από τη γενική αρχή του διαγωνισμού για ορισμένες κατηγορίες κλάδων, οργανώσεων αλλά και σε περιπτώσεις ειδικών ή εξαιρετικών συνθηκών</w:t>
      </w:r>
      <w:r>
        <w:rPr>
          <w:rStyle w:val="FootnoteReference"/>
          <w:sz w:val="22"/>
        </w:rPr>
        <w:footnoteReference w:id="31"/>
      </w:r>
      <w:r>
        <w:rPr>
          <w:sz w:val="22"/>
        </w:rPr>
        <w:t xml:space="preserve">. </w:t>
      </w:r>
    </w:p>
    <w:p w:rsidR="0068108F" w:rsidRDefault="0068108F" w:rsidP="006D364B">
      <w:pPr>
        <w:rPr>
          <w:sz w:val="22"/>
        </w:rPr>
      </w:pPr>
    </w:p>
    <w:p w:rsidR="0068108F" w:rsidRDefault="0068108F" w:rsidP="006D364B">
      <w:pPr>
        <w:rPr>
          <w:sz w:val="22"/>
        </w:rPr>
      </w:pPr>
      <w:r>
        <w:rPr>
          <w:sz w:val="22"/>
        </w:rPr>
        <w:t>Το 1983, προκειμένου να εξαλειφθούν υποψίες αυθαιρεσίας (Σπανού, 1995, σ. 82) ο γενικός κανόνας επιλογής της δημοσιοϋπαλληλίας αντικαταστάθηκε από το σύστημα της «αυτόματης» επιλογής στη βάση της μοριοδότησης τυπικών προσόντων των υποψηφίων (σύστημα των μορίων)</w:t>
      </w:r>
      <w:r>
        <w:rPr>
          <w:rStyle w:val="FootnoteReference"/>
          <w:sz w:val="22"/>
        </w:rPr>
        <w:footnoteReference w:id="32"/>
      </w:r>
      <w:r>
        <w:rPr>
          <w:sz w:val="22"/>
        </w:rPr>
        <w:t>. Παράλληλα, προβλέφθηκε η εξαίρεση ορισμένων κατηγοριών</w:t>
      </w:r>
      <w:r>
        <w:rPr>
          <w:rStyle w:val="FootnoteReference"/>
          <w:sz w:val="22"/>
        </w:rPr>
        <w:footnoteReference w:id="33"/>
      </w:r>
      <w:r>
        <w:rPr>
          <w:sz w:val="22"/>
        </w:rPr>
        <w:t>. Ο ρόλος του Υπουργείου Προεδρίας ενισχύθηκε μέσω της διαδικασίας του ετήσιου κεντρικού προγραμματισμού προσλήψεων. Έτσι, οι φορείς του δημόσιου τομέα θα απέστελλαν τα αιτήματα προσλήψεων στο Υπουργείο, ενώ για την τύχη των προσλήψεων θα αποφάσιζε τριμελής επιτροπή Υπουργών</w:t>
      </w:r>
      <w:r>
        <w:t xml:space="preserve"> </w:t>
      </w:r>
      <w:r>
        <w:rPr>
          <w:sz w:val="22"/>
        </w:rPr>
        <w:t>(</w:t>
      </w:r>
      <w:r>
        <w:rPr>
          <w:sz w:val="22"/>
          <w:lang w:val="en-US"/>
        </w:rPr>
        <w:t>ibid</w:t>
      </w:r>
      <w:r w:rsidRPr="00070AC8">
        <w:rPr>
          <w:sz w:val="22"/>
        </w:rPr>
        <w:t>., σ. 84)</w:t>
      </w:r>
      <w:r>
        <w:rPr>
          <w:sz w:val="22"/>
        </w:rPr>
        <w:t>. Με άλλα λόγια, ενισχύθηκε η κεντρομόλος τάση του συστήματος επιλογής προσωπικού. Περαιτέρω, το κοινωνικό περιεχόμενο των τυπικών κριτηρίων εμφανιζόταν να προκρίνει τη «</w:t>
      </w:r>
      <w:r w:rsidRPr="005E2909">
        <w:rPr>
          <w:i/>
          <w:sz w:val="22"/>
        </w:rPr>
        <w:t>θεσμοποιημένη μεροληψία</w:t>
      </w:r>
      <w:r>
        <w:rPr>
          <w:sz w:val="22"/>
        </w:rPr>
        <w:t>» (</w:t>
      </w:r>
      <w:r>
        <w:rPr>
          <w:sz w:val="22"/>
          <w:lang w:val="en-US"/>
        </w:rPr>
        <w:t>ibid</w:t>
      </w:r>
      <w:r w:rsidRPr="00070AC8">
        <w:rPr>
          <w:sz w:val="22"/>
        </w:rPr>
        <w:t xml:space="preserve">., </w:t>
      </w:r>
      <w:r>
        <w:rPr>
          <w:sz w:val="22"/>
        </w:rPr>
        <w:t>σ. 83) καθώς δεν συμβάδιζε κατ’ ανάγκη με ουσιαστικές οργανωσιακές και επαγγελματικές ανάγκες στελέχωσης, δεδομένου ότι εστίαζε σε κοινωνικές ιδιότητες των υποψηφίων</w:t>
      </w:r>
      <w:r>
        <w:rPr>
          <w:rStyle w:val="FootnoteReference"/>
          <w:sz w:val="22"/>
        </w:rPr>
        <w:footnoteReference w:id="34"/>
      </w:r>
      <w:r>
        <w:rPr>
          <w:sz w:val="22"/>
        </w:rPr>
        <w:t xml:space="preserve">. </w:t>
      </w:r>
    </w:p>
    <w:p w:rsidR="0068108F" w:rsidRDefault="0068108F" w:rsidP="006D364B">
      <w:pPr>
        <w:rPr>
          <w:sz w:val="22"/>
        </w:rPr>
      </w:pPr>
    </w:p>
    <w:p w:rsidR="0068108F" w:rsidRDefault="0068108F" w:rsidP="006D364B">
      <w:pPr>
        <w:rPr>
          <w:sz w:val="22"/>
        </w:rPr>
      </w:pPr>
      <w:r>
        <w:rPr>
          <w:sz w:val="22"/>
        </w:rPr>
        <w:t>Το 1987 διατηρήθηκε η κεντρική κατεύθυνση της «αυτόματης» επιλογής καθώς και ο ετήσιος προγραμματισμός προσλήψεων που θα ενέκρινε ο Υπουργός Προεδρίας</w:t>
      </w:r>
      <w:r>
        <w:rPr>
          <w:rStyle w:val="FootnoteReference"/>
          <w:sz w:val="22"/>
        </w:rPr>
        <w:footnoteReference w:id="35"/>
      </w:r>
      <w:r>
        <w:rPr>
          <w:sz w:val="22"/>
        </w:rPr>
        <w:t>, όμως δόθηκε μερική έμφαση και στα προσόντα των υποψηφίων</w:t>
      </w:r>
      <w:r>
        <w:rPr>
          <w:rStyle w:val="FootnoteReference"/>
          <w:sz w:val="22"/>
        </w:rPr>
        <w:footnoteReference w:id="36"/>
      </w:r>
      <w:r>
        <w:rPr>
          <w:sz w:val="22"/>
        </w:rPr>
        <w:t>. Τελικά, έπειτα από τη διαπίστωση της αποτυχίας του ανωτέρω συστήματος</w:t>
      </w:r>
      <w:r w:rsidRPr="00070AC8">
        <w:t xml:space="preserve"> </w:t>
      </w:r>
      <w:r>
        <w:t>(</w:t>
      </w:r>
      <w:r w:rsidRPr="00070AC8">
        <w:rPr>
          <w:sz w:val="22"/>
        </w:rPr>
        <w:t>Χρυσανθάκης, 2007</w:t>
      </w:r>
      <w:r>
        <w:rPr>
          <w:sz w:val="22"/>
        </w:rPr>
        <w:t>, σ. 60), το 1991 επανακαθορίσθηκε ως κύρια μέθοδος επιλογής προσωπικού ο πανελλήνιος διαγωνισμός</w:t>
      </w:r>
      <w:r>
        <w:rPr>
          <w:rStyle w:val="FootnoteReference"/>
          <w:sz w:val="22"/>
        </w:rPr>
        <w:footnoteReference w:id="37"/>
      </w:r>
      <w:r>
        <w:rPr>
          <w:sz w:val="22"/>
        </w:rPr>
        <w:t>, με συνεκτίμηση και άλλων προσόντων ή ιδιοτήτων</w:t>
      </w:r>
      <w:r>
        <w:rPr>
          <w:rStyle w:val="FootnoteReference"/>
          <w:sz w:val="22"/>
        </w:rPr>
        <w:footnoteReference w:id="38"/>
      </w:r>
      <w:r>
        <w:rPr>
          <w:sz w:val="22"/>
        </w:rPr>
        <w:t>. Επίσης, επανασυστάθηκε η Κ.Ε.Δ. ως αρμόδιο όργανο προετοιμασίας και διεξαγωγής των διαγωνισμών, διατηρήθηκε ο ετήσιος προγραμματισμός προσωπικού, όμως οι αποφάσεις πλέον λαμβάνονταν σε επίπεδο Υπουργικού Συμβουλίου</w:t>
      </w:r>
      <w:r>
        <w:rPr>
          <w:rStyle w:val="FootnoteReference"/>
          <w:sz w:val="22"/>
        </w:rPr>
        <w:footnoteReference w:id="39"/>
      </w:r>
      <w:r>
        <w:rPr>
          <w:sz w:val="22"/>
        </w:rPr>
        <w:t>.</w:t>
      </w:r>
    </w:p>
    <w:p w:rsidR="0068108F" w:rsidRDefault="0068108F" w:rsidP="006D364B">
      <w:pPr>
        <w:rPr>
          <w:sz w:val="22"/>
        </w:rPr>
      </w:pPr>
    </w:p>
    <w:p w:rsidR="0068108F" w:rsidRDefault="0068108F" w:rsidP="006D364B">
      <w:pPr>
        <w:rPr>
          <w:sz w:val="22"/>
        </w:rPr>
      </w:pPr>
      <w:r>
        <w:rPr>
          <w:sz w:val="22"/>
        </w:rPr>
        <w:t xml:space="preserve">Ούτε κατά την περίοδο 1974-1993 έλειψαν οι φυγόκεντρες τάσεις που σχετίζονταν με την παράκαμψη των τυπικών διαδικασιών επιλογής και, τελικά, του διορισμού προσωπικού σε δημόσιες υπηρεσίες εκτός αξιοκρατικού πλαισίου. Ενδεικτικά, το 1976 </w:t>
      </w:r>
      <w:r w:rsidRPr="00F92DA7">
        <w:rPr>
          <w:sz w:val="22"/>
        </w:rPr>
        <w:t xml:space="preserve">προσωπικό </w:t>
      </w:r>
      <w:r>
        <w:rPr>
          <w:sz w:val="22"/>
        </w:rPr>
        <w:t xml:space="preserve">που υπηρετούσε </w:t>
      </w:r>
      <w:r w:rsidRPr="00F92DA7">
        <w:rPr>
          <w:sz w:val="22"/>
        </w:rPr>
        <w:t>επί θητεία</w:t>
      </w:r>
      <w:r>
        <w:rPr>
          <w:sz w:val="22"/>
        </w:rPr>
        <w:t>,</w:t>
      </w:r>
      <w:r w:rsidRPr="00F92DA7">
        <w:rPr>
          <w:sz w:val="22"/>
        </w:rPr>
        <w:t xml:space="preserve"> με κριτήρια </w:t>
      </w:r>
      <w:r>
        <w:rPr>
          <w:sz w:val="22"/>
        </w:rPr>
        <w:t xml:space="preserve">την </w:t>
      </w:r>
      <w:r w:rsidRPr="00F92DA7">
        <w:rPr>
          <w:sz w:val="22"/>
        </w:rPr>
        <w:t xml:space="preserve">προϋπηρεσία και </w:t>
      </w:r>
      <w:r>
        <w:rPr>
          <w:sz w:val="22"/>
        </w:rPr>
        <w:t xml:space="preserve">συγκεκριμένα </w:t>
      </w:r>
      <w:r w:rsidRPr="00F92DA7">
        <w:rPr>
          <w:sz w:val="22"/>
        </w:rPr>
        <w:t>προσόντα</w:t>
      </w:r>
      <w:r>
        <w:rPr>
          <w:sz w:val="22"/>
        </w:rPr>
        <w:t>, μονιμοποιήθηκε</w:t>
      </w:r>
      <w:r w:rsidRPr="00F92DA7">
        <w:rPr>
          <w:sz w:val="22"/>
        </w:rPr>
        <w:t xml:space="preserve"> σε θέσεις τακτικών δημοσίων υπαλλήλων</w:t>
      </w:r>
      <w:r>
        <w:rPr>
          <w:rStyle w:val="FootnoteReference"/>
          <w:sz w:val="22"/>
        </w:rPr>
        <w:footnoteReference w:id="40"/>
      </w:r>
      <w:r>
        <w:rPr>
          <w:sz w:val="22"/>
        </w:rPr>
        <w:t>. Το 1979 η επιλογή προσωπικού για απρόβλεπτες και επείγουσες ανάγκες πραγματοποιούνταν «</w:t>
      </w:r>
      <w:r w:rsidRPr="003526C4">
        <w:rPr>
          <w:i/>
          <w:sz w:val="22"/>
        </w:rPr>
        <w:t>κατά την κρίση του έχοντος το δικαίωμα πρόσληψης οργάνου, άνευ διαδικασίας</w:t>
      </w:r>
      <w:r>
        <w:rPr>
          <w:sz w:val="22"/>
        </w:rPr>
        <w:t>»</w:t>
      </w:r>
      <w:r>
        <w:rPr>
          <w:rStyle w:val="FootnoteReference"/>
          <w:sz w:val="22"/>
        </w:rPr>
        <w:footnoteReference w:id="41"/>
      </w:r>
      <w:r>
        <w:rPr>
          <w:sz w:val="22"/>
        </w:rPr>
        <w:t xml:space="preserve"> αρχικά με διάρκεια δώδεκα και έπειτα εικοσιτεσσάρων μηνών</w:t>
      </w:r>
      <w:r>
        <w:rPr>
          <w:rStyle w:val="FootnoteReference"/>
          <w:sz w:val="22"/>
        </w:rPr>
        <w:footnoteReference w:id="42"/>
      </w:r>
      <w:r>
        <w:rPr>
          <w:sz w:val="22"/>
        </w:rPr>
        <w:t>. Το 1984 προβλέφθηκε η μονιμοποίηση</w:t>
      </w:r>
      <w:r>
        <w:rPr>
          <w:rStyle w:val="FootnoteReference"/>
          <w:sz w:val="22"/>
        </w:rPr>
        <w:footnoteReference w:id="43"/>
      </w:r>
      <w:r>
        <w:rPr>
          <w:sz w:val="22"/>
        </w:rPr>
        <w:t xml:space="preserve"> 49.000 απασχολούμενων με συμβάσεις εργασίας ιδιωτικού δικαίου ορισμένου (10.690) και αορίστου χρόνου (38.311) σε Υπουργεία, Ν.Π.Δ.Δ. και Ο.Τ.Α.</w:t>
      </w:r>
      <w:r>
        <w:rPr>
          <w:rStyle w:val="FootnoteReference"/>
          <w:sz w:val="22"/>
        </w:rPr>
        <w:footnoteReference w:id="44"/>
      </w:r>
      <w:r>
        <w:rPr>
          <w:sz w:val="22"/>
        </w:rPr>
        <w:t>. Αντίστοιχα, το 1990</w:t>
      </w:r>
      <w:r>
        <w:rPr>
          <w:rStyle w:val="FootnoteReference"/>
          <w:sz w:val="22"/>
        </w:rPr>
        <w:footnoteReference w:id="45"/>
      </w:r>
      <w:r>
        <w:rPr>
          <w:sz w:val="22"/>
        </w:rPr>
        <w:t xml:space="preserve"> μονιμοποιήθηκαν 17.000 συμβασιούχοι των Ο.Τ.Α. (Σπανού, 1995, σ. 87). </w:t>
      </w:r>
    </w:p>
    <w:p w:rsidR="0068108F" w:rsidRDefault="0068108F" w:rsidP="002C7A23">
      <w:pPr>
        <w:ind w:firstLine="720"/>
        <w:rPr>
          <w:sz w:val="22"/>
        </w:rPr>
      </w:pPr>
    </w:p>
    <w:p w:rsidR="0068108F" w:rsidRPr="002C7A23" w:rsidRDefault="0068108F" w:rsidP="006E3320">
      <w:pPr>
        <w:pStyle w:val="Heading1"/>
        <w:numPr>
          <w:ilvl w:val="0"/>
          <w:numId w:val="0"/>
        </w:numPr>
      </w:pPr>
      <w:bookmarkStart w:id="12" w:name="_Toc360804361"/>
      <w:bookmarkStart w:id="13" w:name="_Toc501397091"/>
      <w:r>
        <w:t>3.3. Η περίοδος 1994-20</w:t>
      </w:r>
      <w:bookmarkEnd w:id="12"/>
      <w:r>
        <w:t>09</w:t>
      </w:r>
      <w:bookmarkEnd w:id="13"/>
    </w:p>
    <w:p w:rsidR="0068108F" w:rsidRDefault="0068108F" w:rsidP="006D364B">
      <w:pPr>
        <w:rPr>
          <w:sz w:val="22"/>
        </w:rPr>
      </w:pPr>
      <w:r>
        <w:rPr>
          <w:sz w:val="22"/>
        </w:rPr>
        <w:t>Το πλαίσιο επιλογής προσωπικού του 1991 άλλαξε σχετικά σύντομα. Το 1994 αποτέλεσε κομβικό σημείο για τη δημιουργία ενός νέου θεσμού, του Ανωτάτου Συμβουλίου Επιλογής Προσωπικού (Α.Σ.Ε.Π.)</w:t>
      </w:r>
      <w:r>
        <w:rPr>
          <w:rStyle w:val="FootnoteReference"/>
          <w:sz w:val="22"/>
        </w:rPr>
        <w:footnoteReference w:id="46"/>
      </w:r>
      <w:r>
        <w:rPr>
          <w:sz w:val="22"/>
        </w:rPr>
        <w:t>. Ο πυρήνας των αρμοδιοτήτων του νέου φορέα σχηματίστηκε, εκ νέου, στη βάση της εξυπηρέτησης του διαχρονικού αιτούμενου, ήτοι της αξιοκρατικής επιλογής προσωπικού. Το Α.Σ.Ε.Π., όπως και το Α.Σ.Δ.Υ., ιδρύθηκε ως ανεξάρτητη διοικητική αρχή, μη υποκείμενο σε</w:t>
      </w:r>
      <w:r w:rsidRPr="00344520">
        <w:rPr>
          <w:sz w:val="22"/>
        </w:rPr>
        <w:t xml:space="preserve"> </w:t>
      </w:r>
      <w:r>
        <w:rPr>
          <w:sz w:val="22"/>
        </w:rPr>
        <w:t xml:space="preserve">άμεσο </w:t>
      </w:r>
      <w:r w:rsidRPr="00344520">
        <w:rPr>
          <w:sz w:val="22"/>
        </w:rPr>
        <w:t>έλεγχο από κυβερνητικά όργανα ή άλλη διοικητική αρχ</w:t>
      </w:r>
      <w:r>
        <w:rPr>
          <w:sz w:val="22"/>
        </w:rPr>
        <w:t xml:space="preserve">ή, ενώ συγκέντρωνε </w:t>
      </w:r>
      <w:r w:rsidRPr="00344520">
        <w:rPr>
          <w:sz w:val="22"/>
        </w:rPr>
        <w:t xml:space="preserve">όλες τις προβλεπόμενες αρμοδιότητες για την ολοκλήρωση των διαδικασιών διαγωνισμών </w:t>
      </w:r>
      <w:r>
        <w:rPr>
          <w:sz w:val="22"/>
        </w:rPr>
        <w:t>και επιλογής προσωπικού.</w:t>
      </w:r>
      <w:r w:rsidRPr="00344520">
        <w:rPr>
          <w:sz w:val="22"/>
        </w:rPr>
        <w:t xml:space="preserve"> </w:t>
      </w:r>
      <w:r>
        <w:rPr>
          <w:sz w:val="22"/>
        </w:rPr>
        <w:t>Η σύνθεσή του αποτελείται από τον Πρόεδρο, τρεις Αντιπροέδρους και είκοσι τέσσερα μέλη. Η βασική</w:t>
      </w:r>
      <w:r w:rsidRPr="00EB6496">
        <w:rPr>
          <w:sz w:val="22"/>
        </w:rPr>
        <w:t xml:space="preserve"> </w:t>
      </w:r>
      <w:r>
        <w:rPr>
          <w:sz w:val="22"/>
        </w:rPr>
        <w:t>του αποστολή συνδέεται με την</w:t>
      </w:r>
      <w:r w:rsidRPr="00EB6496">
        <w:rPr>
          <w:sz w:val="22"/>
        </w:rPr>
        <w:t xml:space="preserve"> εφαρμογή </w:t>
      </w:r>
      <w:r>
        <w:rPr>
          <w:sz w:val="22"/>
        </w:rPr>
        <w:t>των κανόνων για την</w:t>
      </w:r>
      <w:r w:rsidRPr="00EB6496">
        <w:rPr>
          <w:sz w:val="22"/>
        </w:rPr>
        <w:t xml:space="preserve"> επιλογή των διοριστέων στις δημόσιες υπηρεσίες, στους </w:t>
      </w:r>
      <w:r>
        <w:rPr>
          <w:sz w:val="22"/>
        </w:rPr>
        <w:t>Ο.Τ.Α. και τις επιχειρήσεις τους,</w:t>
      </w:r>
      <w:r w:rsidRPr="00EB6496">
        <w:rPr>
          <w:sz w:val="22"/>
        </w:rPr>
        <w:t xml:space="preserve"> στα νομικά πρόσωπα</w:t>
      </w:r>
      <w:r>
        <w:rPr>
          <w:sz w:val="22"/>
        </w:rPr>
        <w:t xml:space="preserve"> δημοσίου δικαίου αλλά και στα νομικά πρόσωπα ιδιωτικού δικαίου που ανήκουν στο κράτος ή που επιχορηγούνται τακτικά </w:t>
      </w:r>
      <w:r w:rsidRPr="007F6049">
        <w:rPr>
          <w:sz w:val="22"/>
        </w:rPr>
        <w:t>από κρατικούς πόρους κατά 50%</w:t>
      </w:r>
      <w:r>
        <w:rPr>
          <w:sz w:val="22"/>
        </w:rPr>
        <w:t xml:space="preserve"> </w:t>
      </w:r>
      <w:r w:rsidRPr="007F6049">
        <w:rPr>
          <w:sz w:val="22"/>
        </w:rPr>
        <w:t xml:space="preserve">τουλάχιστον του ετήσιου προϋπολογισμού </w:t>
      </w:r>
      <w:r>
        <w:rPr>
          <w:sz w:val="22"/>
        </w:rPr>
        <w:t>τους</w:t>
      </w:r>
      <w:r>
        <w:rPr>
          <w:rStyle w:val="FootnoteReference"/>
          <w:sz w:val="22"/>
        </w:rPr>
        <w:footnoteReference w:id="47"/>
      </w:r>
      <w:r>
        <w:rPr>
          <w:sz w:val="22"/>
        </w:rPr>
        <w:t>. Σε επίπεδο μείγματος πολιτικών επιλογής, ο ιδρυτικός νόμος του Α.Σ.Ε.Π. καθιέρωνε νέο σύστημα προσλήψεων στις δημόσιες οργανώσεις με μικτά στοιχεία της μεθόδου του διαγωνισμού και της «αυτόματης» επιλογής (Χρυσανθάκης, 2007, σ. 62)</w:t>
      </w:r>
      <w:r>
        <w:rPr>
          <w:rStyle w:val="FootnoteReference"/>
          <w:sz w:val="22"/>
        </w:rPr>
        <w:footnoteReference w:id="48"/>
      </w:r>
      <w:r>
        <w:rPr>
          <w:sz w:val="22"/>
        </w:rPr>
        <w:t xml:space="preserve">. </w:t>
      </w:r>
    </w:p>
    <w:p w:rsidR="0068108F" w:rsidRPr="00C703C4" w:rsidRDefault="0068108F" w:rsidP="006D364B">
      <w:pPr>
        <w:rPr>
          <w:sz w:val="22"/>
        </w:rPr>
      </w:pPr>
    </w:p>
    <w:p w:rsidR="0068108F" w:rsidRDefault="0068108F" w:rsidP="006D364B">
      <w:pPr>
        <w:rPr>
          <w:sz w:val="22"/>
        </w:rPr>
      </w:pPr>
      <w:r>
        <w:rPr>
          <w:sz w:val="22"/>
        </w:rPr>
        <w:t>Εν τούτοις, παράλληλα με τη λειτουργία του Α.Σ.Ε.Π. δεν έλειψαν και πρακτικές θεσμικής «απενεργοποίησής» του,</w:t>
      </w:r>
      <w:r w:rsidRPr="00E7159E">
        <w:rPr>
          <w:sz w:val="22"/>
        </w:rPr>
        <w:t xml:space="preserve"> </w:t>
      </w:r>
      <w:r>
        <w:rPr>
          <w:sz w:val="22"/>
        </w:rPr>
        <w:t>διαβρώνοντας προοδευτικά το κύρος του. Εντελώς ενδεικτικά, προβλέφθηκαν εξαιρέσεις κατηγοριών ή ειδών συμβάσεων από την αρμοδιότητά του</w:t>
      </w:r>
      <w:r>
        <w:rPr>
          <w:rStyle w:val="FootnoteReference"/>
          <w:sz w:val="22"/>
        </w:rPr>
        <w:footnoteReference w:id="49"/>
      </w:r>
      <w:r>
        <w:rPr>
          <w:sz w:val="22"/>
        </w:rPr>
        <w:t>, μετατροπή συμβάσεων ιδιωτικού δικαίου σε μόνιμες</w:t>
      </w:r>
      <w:r>
        <w:rPr>
          <w:rStyle w:val="FootnoteReference"/>
          <w:sz w:val="22"/>
        </w:rPr>
        <w:footnoteReference w:id="50"/>
      </w:r>
      <w:r>
        <w:rPr>
          <w:sz w:val="22"/>
        </w:rPr>
        <w:t xml:space="preserve">, ενώ καταγράφεται και περίπτωση μεταφοράς προσωπικού από εταιρείες του δημοσίου υπό εκκαθάριση σε αμιγείς δημόσιες υπηρεσίες </w:t>
      </w:r>
      <w:r w:rsidRPr="00E828B9">
        <w:rPr>
          <w:sz w:val="22"/>
        </w:rPr>
        <w:t>κατόπιν αίτησης</w:t>
      </w:r>
      <w:r>
        <w:rPr>
          <w:rStyle w:val="FootnoteReference"/>
          <w:sz w:val="22"/>
        </w:rPr>
        <w:footnoteReference w:id="51"/>
      </w:r>
      <w:r>
        <w:rPr>
          <w:sz w:val="22"/>
        </w:rPr>
        <w:t>, άνευ εμπλοκής του Α.Σ.Ε.Π. Συνολικά, παρακάμψεις και τροποποιήσεις των κριτηρίων επιχειρούσαν να «αδρανοποιήσουν» την ικανότητα παρέμβασης του θεσμού, δεσμεύοντας τις διαδικασίες του</w:t>
      </w:r>
      <w:r>
        <w:rPr>
          <w:rStyle w:val="FootnoteReference"/>
          <w:sz w:val="22"/>
        </w:rPr>
        <w:footnoteReference w:id="52"/>
      </w:r>
      <w:r>
        <w:rPr>
          <w:sz w:val="22"/>
        </w:rPr>
        <w:t>.</w:t>
      </w:r>
    </w:p>
    <w:p w:rsidR="0068108F" w:rsidRDefault="0068108F" w:rsidP="006D364B">
      <w:pPr>
        <w:rPr>
          <w:sz w:val="22"/>
        </w:rPr>
      </w:pPr>
    </w:p>
    <w:p w:rsidR="0068108F" w:rsidRDefault="0068108F" w:rsidP="006D364B">
      <w:pPr>
        <w:rPr>
          <w:sz w:val="22"/>
        </w:rPr>
      </w:pPr>
      <w:r>
        <w:rPr>
          <w:sz w:val="22"/>
        </w:rPr>
        <w:t xml:space="preserve">Οι ανωτέρω ενδεικτικές πρακτικές αποδυνάμωσης και </w:t>
      </w:r>
      <w:r w:rsidRPr="00DC0B04">
        <w:rPr>
          <w:sz w:val="22"/>
        </w:rPr>
        <w:t>εξουδετέρωσης</w:t>
      </w:r>
      <w:r>
        <w:rPr>
          <w:sz w:val="22"/>
        </w:rPr>
        <w:t xml:space="preserve"> του Α.Σ.Ε.Π. οδήγησαν σε ένα επόμενο κομβικό σημείο αλλαγής. Το 2009, ο ρόλος του θεσμού διευρύνθηκε σημαντικά καθώς επεκτάθηκε η αρμοδιότητά του</w:t>
      </w:r>
      <w:r>
        <w:rPr>
          <w:rStyle w:val="FootnoteReference"/>
          <w:sz w:val="22"/>
        </w:rPr>
        <w:footnoteReference w:id="53"/>
      </w:r>
      <w:r>
        <w:rPr>
          <w:sz w:val="22"/>
        </w:rPr>
        <w:t xml:space="preserve"> </w:t>
      </w:r>
      <w:r w:rsidRPr="003C46AE">
        <w:rPr>
          <w:sz w:val="22"/>
        </w:rPr>
        <w:t>για θέματα επιλογής προσωπικού</w:t>
      </w:r>
      <w:r>
        <w:rPr>
          <w:sz w:val="22"/>
        </w:rPr>
        <w:t xml:space="preserve"> σε δημόσιες υπηρεσίες που δεν υπάγονταν στον έλεγχο του</w:t>
      </w:r>
      <w:r>
        <w:rPr>
          <w:rStyle w:val="FootnoteReference"/>
          <w:sz w:val="22"/>
        </w:rPr>
        <w:footnoteReference w:id="54"/>
      </w:r>
      <w:r>
        <w:rPr>
          <w:sz w:val="22"/>
        </w:rPr>
        <w:t>, ενώ εντάχθηκαν ακόμη και πολιτειακοί θεσμοί, όπως η Προεδρία της Δημοκρατίας και η Βουλή των Ελλήνων, συμβάλλοντας στην –</w:t>
      </w:r>
      <w:r w:rsidRPr="009A2FAF">
        <w:rPr>
          <w:sz w:val="22"/>
        </w:rPr>
        <w:t xml:space="preserve"> </w:t>
      </w:r>
      <w:r>
        <w:rPr>
          <w:sz w:val="22"/>
        </w:rPr>
        <w:t xml:space="preserve">συμβολική και πρακτική ενίσχυση– της επιδίωξης του διαχρονικού αιτούμενου περί αξιοκρατικής επιλογής ανθρώπινου δυναμικού. </w:t>
      </w:r>
    </w:p>
    <w:p w:rsidR="0068108F" w:rsidRDefault="0068108F" w:rsidP="0019616F">
      <w:pPr>
        <w:rPr>
          <w:sz w:val="22"/>
        </w:rPr>
      </w:pPr>
    </w:p>
    <w:p w:rsidR="0068108F" w:rsidRPr="002C7A23" w:rsidRDefault="0068108F" w:rsidP="0019616F">
      <w:pPr>
        <w:pStyle w:val="Heading1"/>
        <w:numPr>
          <w:ilvl w:val="0"/>
          <w:numId w:val="0"/>
        </w:numPr>
      </w:pPr>
      <w:bookmarkStart w:id="14" w:name="_Toc501397092"/>
      <w:r>
        <w:t>3.4. Η περίοδος 2010-2017</w:t>
      </w:r>
      <w:bookmarkEnd w:id="14"/>
    </w:p>
    <w:p w:rsidR="0068108F" w:rsidRDefault="0068108F" w:rsidP="00BB6867">
      <w:pPr>
        <w:rPr>
          <w:sz w:val="22"/>
        </w:rPr>
      </w:pPr>
      <w:r>
        <w:rPr>
          <w:sz w:val="22"/>
        </w:rPr>
        <w:t>Η εκκίνηση το 2009 της βαθύτερης μεταπολεμικά περιόδου συρρίκνωσης της ελληνικής οικονομίας είχε ως αποτέλεσμα την εκδήλωση ισχυρών πιέσεων εξορθολογισμού της διοίκησης. Η κατεύθυνση έτεινε προς το δραστικό περιορισμό της, ιδίως της δημοσιονομικής της συνιστώσας. Το ανθρώπινο δυναμικό βρέθηκε στο επίκεντρο των παρεμβάσεων καθώς προωθήθηκαν μέτρα τα οποία συνδέθηκαν με τη μείωσή του, η οποία θα συνεπαγόταν και τη μείωση της μισθολογικής δαπάνης του δημοσίου.</w:t>
      </w:r>
    </w:p>
    <w:p w:rsidR="0068108F" w:rsidRDefault="0068108F" w:rsidP="00BB6867">
      <w:pPr>
        <w:rPr>
          <w:sz w:val="22"/>
        </w:rPr>
      </w:pPr>
    </w:p>
    <w:p w:rsidR="0068108F" w:rsidRDefault="0068108F" w:rsidP="00BB6867">
      <w:pPr>
        <w:rPr>
          <w:sz w:val="22"/>
        </w:rPr>
      </w:pPr>
      <w:r>
        <w:rPr>
          <w:sz w:val="22"/>
        </w:rPr>
        <w:t xml:space="preserve">Σε ό,τι αφορά ειδικότερα την πρόσληψη προσωπικού, προβλέφθηκε η ποσόστωση προσλήψεων επί τη βάσει των αποχωρήσεων προσωπικού. Έτσι, έως τα τέλη του </w:t>
      </w:r>
      <w:r w:rsidRPr="007B5B44">
        <w:rPr>
          <w:sz w:val="22"/>
        </w:rPr>
        <w:t>2015 ο αριθμός των ετήσιων προσλήψεων και διορισμών τακτικού προσωπικού (μόνιμοι</w:t>
      </w:r>
      <w:r>
        <w:rPr>
          <w:sz w:val="22"/>
        </w:rPr>
        <w:t xml:space="preserve"> </w:t>
      </w:r>
      <w:r w:rsidRPr="007B5B44">
        <w:rPr>
          <w:sz w:val="22"/>
        </w:rPr>
        <w:t>και</w:t>
      </w:r>
      <w:r>
        <w:rPr>
          <w:sz w:val="22"/>
        </w:rPr>
        <w:t xml:space="preserve"> ιδιωτικού δικαίου αορίστου χρόνου</w:t>
      </w:r>
      <w:r w:rsidRPr="00F7532D">
        <w:rPr>
          <w:sz w:val="22"/>
        </w:rPr>
        <w:t xml:space="preserve"> </w:t>
      </w:r>
      <w:r>
        <w:rPr>
          <w:sz w:val="22"/>
        </w:rPr>
        <w:t>υπάλληλοι</w:t>
      </w:r>
      <w:r w:rsidRPr="007B5B44">
        <w:rPr>
          <w:sz w:val="22"/>
        </w:rPr>
        <w:t>) δεν μπορ</w:t>
      </w:r>
      <w:r>
        <w:rPr>
          <w:sz w:val="22"/>
        </w:rPr>
        <w:t>ούσε να υπερβαίνει</w:t>
      </w:r>
      <w:r w:rsidRPr="007B5B44">
        <w:rPr>
          <w:sz w:val="22"/>
        </w:rPr>
        <w:t xml:space="preserve"> το λόγο ένα προς πέντε (</w:t>
      </w:r>
      <w:r>
        <w:rPr>
          <w:sz w:val="22"/>
        </w:rPr>
        <w:t xml:space="preserve">1:5, ήτοι </w:t>
      </w:r>
      <w:r w:rsidRPr="007B5B44">
        <w:rPr>
          <w:sz w:val="22"/>
        </w:rPr>
        <w:t>μια π</w:t>
      </w:r>
      <w:r>
        <w:rPr>
          <w:sz w:val="22"/>
        </w:rPr>
        <w:t xml:space="preserve">ρόσληψη ανά πέντε αποχωρήσεις) </w:t>
      </w:r>
      <w:r w:rsidRPr="007B5B44">
        <w:rPr>
          <w:sz w:val="22"/>
        </w:rPr>
        <w:t>στο σύνολο των φορέων</w:t>
      </w:r>
      <w:r>
        <w:rPr>
          <w:rStyle w:val="FootnoteReference"/>
          <w:sz w:val="22"/>
        </w:rPr>
        <w:footnoteReference w:id="55"/>
      </w:r>
      <w:r>
        <w:rPr>
          <w:sz w:val="22"/>
        </w:rPr>
        <w:t>. Περαιτέρω, λήφθηκαν ειδικότερα μέτρα που αποσκοπούσαν στον περιορισμό του ανθρώπινου δυναμικού όπως (προ-συνταξιοδοτική) διαθεσιμότητα, εργασιακή εφεδρεία και κινητικότητα, ενώ καταργήθηκαν κλάδοι και ειδικότητες με αποτέλεσμα την μαζική απόλυση προσωπικού για πρώτη φορά μεταπολιτευτικά</w:t>
      </w:r>
      <w:r>
        <w:rPr>
          <w:rStyle w:val="FootnoteReference"/>
          <w:sz w:val="22"/>
        </w:rPr>
        <w:footnoteReference w:id="56"/>
      </w:r>
      <w:r>
        <w:rPr>
          <w:sz w:val="22"/>
        </w:rPr>
        <w:t>. Συναφώς, το Α.Σ.Ε.Π. συμμετείχε σε διαδικασίες κινητικότητας προσωπικού που ετίθετο σε διαθεσιμότητα, καταρτίζοντας πίνακες βαθμολογικής κατάταξης υπαλλήλων βάσει κριτηρίων και διάθεσης προσωπικού σε φορείς υποδοχής.</w:t>
      </w:r>
    </w:p>
    <w:p w:rsidR="0068108F" w:rsidRDefault="0068108F" w:rsidP="00BB6867">
      <w:pPr>
        <w:rPr>
          <w:sz w:val="22"/>
        </w:rPr>
      </w:pPr>
    </w:p>
    <w:p w:rsidR="0068108F" w:rsidRDefault="0068108F" w:rsidP="00BB6867">
      <w:pPr>
        <w:rPr>
          <w:sz w:val="22"/>
        </w:rPr>
      </w:pPr>
      <w:r>
        <w:rPr>
          <w:sz w:val="22"/>
        </w:rPr>
        <w:t>Με την αλλαγή διακυβέρνησης (2015) οι καταργηθέντες κλάδοι και ειδικότητες επανασυστήθηκαν και δόθηκε η δυνατότητα στο προσωπικό που είχε απολυθεί να επιστρέψει σε θέσεις εργασίας</w:t>
      </w:r>
      <w:r>
        <w:rPr>
          <w:rStyle w:val="FootnoteReference"/>
          <w:sz w:val="22"/>
        </w:rPr>
        <w:footnoteReference w:id="57"/>
      </w:r>
      <w:r>
        <w:rPr>
          <w:sz w:val="22"/>
        </w:rPr>
        <w:t>. Πάντως, σε ό,τι αφορά την πολιτική επιλογής ανθρώπινου δυναμικού δεν υπήρξαν σημαντικές μεταβολές. Συναφώς, η ποσόστωση προσλήψεων που εκκίνησε το 2010 εξακολούθησε να ισχύει και στα επόμενα έτη</w:t>
      </w:r>
      <w:r>
        <w:rPr>
          <w:rStyle w:val="FootnoteReference"/>
          <w:sz w:val="22"/>
        </w:rPr>
        <w:footnoteReference w:id="58"/>
      </w:r>
      <w:r>
        <w:rPr>
          <w:sz w:val="22"/>
        </w:rPr>
        <w:t xml:space="preserve"> ακολουθώντας το πλαίσιο που καθόριζαν οι δημοσιονομικές ανάγκες της χώρας. Επίσης, σε νέου τύπου προγράμματα απασχόλησης στο δημόσιο (κοινωφελής εργασία) το Α.Σ.Ε.Π. προβλέφθηκε να ασκεί έλεγχο νομιμότητας της διαδικασίας  και να εποπτεύει την τήρηση των αρχών της αντικειμενικότητας και της διαφάνειας της διαδικασίας επιλογής από τους φορείς</w:t>
      </w:r>
      <w:r>
        <w:rPr>
          <w:rStyle w:val="FootnoteReference"/>
          <w:sz w:val="22"/>
        </w:rPr>
        <w:footnoteReference w:id="59"/>
      </w:r>
      <w:r>
        <w:rPr>
          <w:sz w:val="22"/>
        </w:rPr>
        <w:t>.</w:t>
      </w:r>
    </w:p>
    <w:p w:rsidR="0068108F" w:rsidRDefault="0068108F" w:rsidP="0019616F">
      <w:pPr>
        <w:rPr>
          <w:sz w:val="22"/>
        </w:rPr>
      </w:pPr>
    </w:p>
    <w:p w:rsidR="0068108F" w:rsidRDefault="0068108F" w:rsidP="006E3320">
      <w:pPr>
        <w:pStyle w:val="Heading1"/>
        <w:numPr>
          <w:ilvl w:val="0"/>
          <w:numId w:val="0"/>
        </w:numPr>
      </w:pPr>
      <w:bookmarkStart w:id="15" w:name="_Toc360804362"/>
      <w:bookmarkStart w:id="16" w:name="_Toc501397093"/>
      <w:r>
        <w:t>4. Δεδομένα</w:t>
      </w:r>
      <w:bookmarkEnd w:id="15"/>
      <w:bookmarkEnd w:id="16"/>
    </w:p>
    <w:p w:rsidR="0068108F" w:rsidRDefault="0068108F" w:rsidP="00040724">
      <w:pPr>
        <w:rPr>
          <w:sz w:val="22"/>
        </w:rPr>
      </w:pPr>
      <w:r>
        <w:rPr>
          <w:sz w:val="22"/>
        </w:rPr>
        <w:t xml:space="preserve">Η πολιτική για την επιλογή προσωπικού είχε ως σκοπό την εξυπηρέτηση του αξιοκρατικού αιτούμενου στελέχωσης των δημοσίων υπηρεσιών. Εν τούτοις, από την προηγούμενη ανάλυση προκύπτουν ισχυρές ενδείξεις ασυνέχειας στην επιδίωξη προσλήψεων με μοναδικό κριτήριο την αξιοκρατία. Παράλληλα, η διαδικασία επιλογής ανθρώπινου δυναμικού εμφανίζει αποκλίσεις από μεθόδους διαπίστωσης της καταλληλότητας των προσόντων των υποψηφίων. Οι εν λόγω όψεις οδηγούν στην ανάδυση του εξής ερωτήματος: ποιό είναι το αριθμητικό μέγεθος της ελληνικής δημοσιοϋπαλληλίας που κρίθηκε κατάλληλο κατόπιν αξιοκρατικών διαδικασιών επιλογής; Είναι δυνατόν να προσδιοριστεί με σαφήνεια; </w:t>
      </w:r>
    </w:p>
    <w:p w:rsidR="0068108F" w:rsidRDefault="0068108F" w:rsidP="00040724">
      <w:pPr>
        <w:rPr>
          <w:sz w:val="22"/>
        </w:rPr>
      </w:pPr>
    </w:p>
    <w:p w:rsidR="0068108F" w:rsidRDefault="0068108F" w:rsidP="006D364B">
      <w:pPr>
        <w:rPr>
          <w:sz w:val="22"/>
        </w:rPr>
      </w:pPr>
      <w:r>
        <w:rPr>
          <w:sz w:val="22"/>
        </w:rPr>
        <w:t>Για αρκετά χρόνια ο ακριβής αριθμός των δημοσίων υπαλλήλων έχει παραμείνει ασαφής (Μακρυδημήτρης, 1999, σ</w:t>
      </w:r>
      <w:r w:rsidRPr="00F85F55">
        <w:rPr>
          <w:sz w:val="22"/>
        </w:rPr>
        <w:t>. 248</w:t>
      </w:r>
      <w:r>
        <w:rPr>
          <w:sz w:val="22"/>
        </w:rPr>
        <w:t>)</w:t>
      </w:r>
      <w:r>
        <w:rPr>
          <w:rStyle w:val="FootnoteReference"/>
          <w:sz w:val="22"/>
        </w:rPr>
        <w:footnoteReference w:id="60"/>
      </w:r>
      <w:r>
        <w:rPr>
          <w:sz w:val="22"/>
        </w:rPr>
        <w:t>, ενώ το 2010 πραγματοποιήθηκε για πρώτη φορά ηλεκτρονική απογραφή για τον προσδιορισμό του μεγέθους του</w:t>
      </w:r>
      <w:r>
        <w:rPr>
          <w:rStyle w:val="FootnoteReference"/>
          <w:sz w:val="22"/>
        </w:rPr>
        <w:footnoteReference w:id="61"/>
      </w:r>
      <w:r>
        <w:rPr>
          <w:sz w:val="22"/>
        </w:rPr>
        <w:t>. Ομοίως, η προσπάθεια ανεύρεσης του ακριβούς αριθμού των υπαλλήλων που επιλέχθηκαν με αξιοκρατικές διαδικασίες παρουσιάζει, επίσης, σημαντικές δυσχέρειες</w:t>
      </w:r>
      <w:r>
        <w:rPr>
          <w:rStyle w:val="FootnoteReference"/>
          <w:sz w:val="22"/>
        </w:rPr>
        <w:footnoteReference w:id="62"/>
      </w:r>
      <w:r>
        <w:rPr>
          <w:sz w:val="22"/>
        </w:rPr>
        <w:t>.</w:t>
      </w:r>
    </w:p>
    <w:p w:rsidR="0068108F" w:rsidRDefault="0068108F" w:rsidP="006D364B">
      <w:pPr>
        <w:rPr>
          <w:sz w:val="22"/>
        </w:rPr>
      </w:pPr>
    </w:p>
    <w:p w:rsidR="0068108F" w:rsidRDefault="0068108F" w:rsidP="006D364B">
      <w:pPr>
        <w:rPr>
          <w:sz w:val="22"/>
        </w:rPr>
      </w:pPr>
      <w:r>
        <w:rPr>
          <w:sz w:val="22"/>
        </w:rPr>
        <w:t>Έτσι, μη συμπεριλαμβάνοντας περιπτώσεις επιμέρους διαδικασιών αξιοκρατικής επιλογής, (π.χ. γραπτοί διαγωνισμοί παραγωγικών σχολών) στον πίνακα 1 παρουσιάζονται δεδομένα του τακτικού προσωπικού</w:t>
      </w:r>
      <w:r>
        <w:rPr>
          <w:rStyle w:val="FootnoteReference"/>
          <w:sz w:val="22"/>
        </w:rPr>
        <w:footnoteReference w:id="63"/>
      </w:r>
      <w:r>
        <w:rPr>
          <w:sz w:val="22"/>
        </w:rPr>
        <w:t xml:space="preserve"> σε συνδυασμό με τον ετήσιο αριθμό προσλήψεων μέσω διαδικασιών Α.Σ.Ε.Π. για την περίοδο 1994-2017. Όπως προκύπτει από τον πίνακα, το «αποτύπωμα» του Α.Σ.Ε.Π. στο σύνολο του δημοσιοϋπαλληλικού σώματος προοδευτικά αυξάνεται, στοιχείο που ικανοποιεί τις αρχές της αξιοκρατίας, της αντικειμενικότητας και της διαφάνειας των διαδικασιών επιλογής. Η «γενιά του Α.Σ.Ε.Π.» (τακτικό προσωπικό) το 2017 ανήλθε σωρευτικά σε 197.071 άτομα, ήτοι 34,8% επί του συνολικού τακτικού προσωπικού των δημοσίων υπηρεσιών. Το εν λόγω μερίδιο το 2009 ανερχόταν σε 24,7%. </w:t>
      </w:r>
    </w:p>
    <w:p w:rsidR="0068108F" w:rsidRDefault="0068108F" w:rsidP="006D364B">
      <w:pPr>
        <w:rPr>
          <w:sz w:val="22"/>
        </w:rPr>
      </w:pPr>
    </w:p>
    <w:p w:rsidR="0068108F" w:rsidRDefault="0068108F" w:rsidP="004C37A2">
      <w:pPr>
        <w:rPr>
          <w:sz w:val="22"/>
        </w:rPr>
      </w:pPr>
      <w:r>
        <w:rPr>
          <w:sz w:val="22"/>
        </w:rPr>
        <w:t xml:space="preserve">Συναφώς, </w:t>
      </w:r>
      <w:r w:rsidRPr="00430FD6">
        <w:rPr>
          <w:sz w:val="22"/>
        </w:rPr>
        <w:t>δε θα πρέπει να διαλάθει της προσοχής</w:t>
      </w:r>
      <w:r>
        <w:rPr>
          <w:sz w:val="22"/>
        </w:rPr>
        <w:t xml:space="preserve"> το εξής στοιχείο: στο συνολικό αριθμό υπαλλήλων που έχουν προσληφθεί μέσω Α.Σ.Ε.Π. συμπεριλαμβάνεται και η άτυπη πρακτική νομιμοποίησης συμβάσεων ιδιωτικού δικαίου (ορισμένου χρόνου, έργου) με απόκτηση «προνομιακής» εμπειρίας (συμπεριλαμβανομένων και προγραμμάτων </w:t>
      </w:r>
      <w:r>
        <w:rPr>
          <w:sz w:val="22"/>
          <w:lang w:val="en-US"/>
        </w:rPr>
        <w:t>stage</w:t>
      </w:r>
      <w:r>
        <w:rPr>
          <w:sz w:val="22"/>
        </w:rPr>
        <w:t>)</w:t>
      </w:r>
      <w:r w:rsidRPr="004C37A2">
        <w:rPr>
          <w:rStyle w:val="FootnoteReference"/>
          <w:sz w:val="22"/>
        </w:rPr>
        <w:footnoteReference w:id="64"/>
      </w:r>
      <w:r>
        <w:rPr>
          <w:sz w:val="22"/>
        </w:rPr>
        <w:t>. Η εν λόγω  απόκτηση εμπειρίας συνίστατο στο ότι η μοριοδότησή της ευνοούσε μερίδα υποψήφιων που διατηρούσε προνομιακή πρόσβαση για σύναψη συμβάσεων εργασίας σε δημόσιους φορείς, με αποτέλεσμα η αποκτηθείσα προϋπηρεσία να προσμετράται από το Α.Σ.Ε.Π. –όπως άλλωστε προβλεπόταν– αυξάνοντας τις πιθανότητες πρόσληψης έναντι συνυποψηφίων.</w:t>
      </w:r>
    </w:p>
    <w:p w:rsidR="0068108F" w:rsidRDefault="0068108F" w:rsidP="00040724">
      <w:pPr>
        <w:rPr>
          <w:sz w:val="18"/>
        </w:rPr>
      </w:pPr>
    </w:p>
    <w:p w:rsidR="0068108F" w:rsidRPr="00501834" w:rsidRDefault="0068108F" w:rsidP="00F85F55">
      <w:pPr>
        <w:pStyle w:val="Caption"/>
        <w:keepNext/>
        <w:jc w:val="center"/>
      </w:pPr>
      <w:r>
        <w:t xml:space="preserve">Πίνακας </w:t>
      </w:r>
      <w:fldSimple w:instr=" SEQ Πίνακας \* ARABIC ">
        <w:r>
          <w:rPr>
            <w:noProof/>
          </w:rPr>
          <w:t>1</w:t>
        </w:r>
      </w:fldSimple>
      <w:r>
        <w:t>: Ανθρώπινο δυναμικό στο δημόσιο: στοιχεία Μητρώου και δεδομένα Α.Σ.Ε.Π.</w:t>
      </w:r>
    </w:p>
    <w:tbl>
      <w:tblPr>
        <w:tblW w:w="7454" w:type="dxa"/>
        <w:jc w:val="center"/>
        <w:tblInd w:w="94" w:type="dxa"/>
        <w:tblLook w:val="00A0"/>
      </w:tblPr>
      <w:tblGrid>
        <w:gridCol w:w="731"/>
        <w:gridCol w:w="1203"/>
        <w:gridCol w:w="1523"/>
        <w:gridCol w:w="1996"/>
        <w:gridCol w:w="2001"/>
      </w:tblGrid>
      <w:tr w:rsidR="0068108F" w:rsidRPr="00BF1502" w:rsidTr="009A7E06">
        <w:trPr>
          <w:trHeight w:val="300"/>
          <w:jc w:val="center"/>
        </w:trPr>
        <w:tc>
          <w:tcPr>
            <w:tcW w:w="731" w:type="dxa"/>
            <w:tcBorders>
              <w:top w:val="single" w:sz="4" w:space="0" w:color="auto"/>
              <w:left w:val="nil"/>
              <w:bottom w:val="single" w:sz="4" w:space="0" w:color="auto"/>
              <w:right w:val="nil"/>
            </w:tcBorders>
            <w:noWrap/>
            <w:vAlign w:val="center"/>
          </w:tcPr>
          <w:p w:rsidR="0068108F" w:rsidRPr="00BF1502" w:rsidRDefault="0068108F" w:rsidP="009B33BD">
            <w:pPr>
              <w:spacing w:line="240" w:lineRule="auto"/>
              <w:jc w:val="center"/>
              <w:rPr>
                <w:rFonts w:cs="Calibri"/>
                <w:color w:val="000000"/>
                <w:sz w:val="20"/>
                <w:szCs w:val="20"/>
                <w:lang w:eastAsia="el-GR"/>
              </w:rPr>
            </w:pPr>
            <w:r w:rsidRPr="00BF1502">
              <w:rPr>
                <w:rFonts w:cs="Calibri"/>
                <w:color w:val="000000"/>
                <w:sz w:val="20"/>
                <w:szCs w:val="20"/>
                <w:lang w:eastAsia="el-GR"/>
              </w:rPr>
              <w:t>Έτος</w:t>
            </w:r>
          </w:p>
        </w:tc>
        <w:tc>
          <w:tcPr>
            <w:tcW w:w="1203" w:type="dxa"/>
            <w:tcBorders>
              <w:top w:val="single" w:sz="4" w:space="0" w:color="auto"/>
              <w:left w:val="nil"/>
              <w:bottom w:val="single" w:sz="4" w:space="0" w:color="auto"/>
              <w:right w:val="nil"/>
            </w:tcBorders>
            <w:noWrap/>
            <w:vAlign w:val="center"/>
          </w:tcPr>
          <w:p w:rsidR="0068108F" w:rsidRPr="00BF1502" w:rsidRDefault="0068108F" w:rsidP="009B33BD">
            <w:pPr>
              <w:spacing w:line="240" w:lineRule="auto"/>
              <w:jc w:val="center"/>
              <w:rPr>
                <w:rFonts w:cs="Calibri"/>
                <w:color w:val="000000"/>
                <w:sz w:val="20"/>
                <w:szCs w:val="20"/>
                <w:lang w:eastAsia="el-GR"/>
              </w:rPr>
            </w:pPr>
            <w:r w:rsidRPr="00BF1502">
              <w:rPr>
                <w:rFonts w:cs="Calibri"/>
                <w:color w:val="000000"/>
                <w:sz w:val="20"/>
                <w:szCs w:val="20"/>
                <w:lang w:eastAsia="el-GR"/>
              </w:rPr>
              <w:t>Τακτικό προσωπικό</w:t>
            </w:r>
          </w:p>
        </w:tc>
        <w:tc>
          <w:tcPr>
            <w:tcW w:w="1523" w:type="dxa"/>
            <w:tcBorders>
              <w:top w:val="single" w:sz="4" w:space="0" w:color="auto"/>
              <w:left w:val="nil"/>
              <w:bottom w:val="single" w:sz="4" w:space="0" w:color="auto"/>
              <w:right w:val="nil"/>
            </w:tcBorders>
            <w:noWrap/>
            <w:vAlign w:val="center"/>
          </w:tcPr>
          <w:p w:rsidR="0068108F" w:rsidRPr="00BF1502" w:rsidRDefault="0068108F" w:rsidP="00EC0A8A">
            <w:pPr>
              <w:spacing w:line="240" w:lineRule="auto"/>
              <w:jc w:val="center"/>
              <w:rPr>
                <w:rFonts w:cs="Calibri"/>
                <w:color w:val="000000"/>
                <w:sz w:val="20"/>
                <w:szCs w:val="20"/>
                <w:highlight w:val="yellow"/>
                <w:lang w:eastAsia="el-GR"/>
              </w:rPr>
            </w:pPr>
            <w:r w:rsidRPr="00BF1502">
              <w:rPr>
                <w:rFonts w:cs="Calibri"/>
                <w:color w:val="000000"/>
                <w:sz w:val="20"/>
                <w:szCs w:val="20"/>
                <w:lang w:eastAsia="el-GR"/>
              </w:rPr>
              <w:t>Σωρευτικό άθροισμα (1)</w:t>
            </w:r>
          </w:p>
        </w:tc>
        <w:tc>
          <w:tcPr>
            <w:tcW w:w="1996" w:type="dxa"/>
            <w:tcBorders>
              <w:top w:val="single" w:sz="4" w:space="0" w:color="auto"/>
              <w:left w:val="nil"/>
              <w:bottom w:val="single" w:sz="4" w:space="0" w:color="auto"/>
              <w:right w:val="nil"/>
            </w:tcBorders>
            <w:noWrap/>
            <w:vAlign w:val="center"/>
          </w:tcPr>
          <w:p w:rsidR="0068108F" w:rsidRPr="00BF1502" w:rsidRDefault="0068108F" w:rsidP="009B33BD">
            <w:pPr>
              <w:spacing w:line="240" w:lineRule="auto"/>
              <w:jc w:val="center"/>
              <w:rPr>
                <w:rFonts w:cs="Calibri"/>
                <w:color w:val="000000"/>
                <w:sz w:val="20"/>
                <w:szCs w:val="20"/>
                <w:lang w:eastAsia="el-GR"/>
              </w:rPr>
            </w:pPr>
            <w:r>
              <w:rPr>
                <w:rFonts w:cs="Calibri"/>
                <w:color w:val="000000"/>
                <w:sz w:val="20"/>
                <w:szCs w:val="20"/>
                <w:lang w:eastAsia="el-GR"/>
              </w:rPr>
              <w:t>Μητρώο προσωπικού</w:t>
            </w:r>
          </w:p>
          <w:p w:rsidR="0068108F" w:rsidRPr="00BF1502" w:rsidRDefault="0068108F" w:rsidP="00EC0A8A">
            <w:pPr>
              <w:spacing w:line="240" w:lineRule="auto"/>
              <w:jc w:val="center"/>
              <w:rPr>
                <w:rFonts w:cs="Calibri"/>
                <w:color w:val="000000"/>
                <w:sz w:val="20"/>
                <w:szCs w:val="20"/>
                <w:vertAlign w:val="superscript"/>
                <w:lang w:eastAsia="el-GR"/>
              </w:rPr>
            </w:pPr>
            <w:r w:rsidRPr="00BF1502">
              <w:rPr>
                <w:rFonts w:cs="Calibri"/>
                <w:color w:val="000000"/>
                <w:sz w:val="20"/>
                <w:szCs w:val="20"/>
                <w:lang w:eastAsia="el-GR"/>
              </w:rPr>
              <w:t>(</w:t>
            </w:r>
            <w:r w:rsidRPr="00BF1502">
              <w:rPr>
                <w:rFonts w:cs="Calibri"/>
                <w:color w:val="000000"/>
                <w:sz w:val="20"/>
                <w:szCs w:val="20"/>
                <w:lang w:val="en-US" w:eastAsia="el-GR"/>
              </w:rPr>
              <w:t>apografi</w:t>
            </w:r>
            <w:r w:rsidRPr="00BF1502">
              <w:rPr>
                <w:rFonts w:cs="Calibri"/>
                <w:color w:val="000000"/>
                <w:sz w:val="20"/>
                <w:szCs w:val="20"/>
                <w:lang w:eastAsia="el-GR"/>
              </w:rPr>
              <w:t>.</w:t>
            </w:r>
            <w:r w:rsidRPr="00BF1502">
              <w:rPr>
                <w:rFonts w:cs="Calibri"/>
                <w:color w:val="000000"/>
                <w:sz w:val="20"/>
                <w:szCs w:val="20"/>
                <w:lang w:val="en-US" w:eastAsia="el-GR"/>
              </w:rPr>
              <w:t>gov</w:t>
            </w:r>
            <w:r w:rsidRPr="00BF1502">
              <w:rPr>
                <w:rFonts w:cs="Calibri"/>
                <w:color w:val="000000"/>
                <w:sz w:val="20"/>
                <w:szCs w:val="20"/>
                <w:lang w:eastAsia="el-GR"/>
              </w:rPr>
              <w:t>.</w:t>
            </w:r>
            <w:r w:rsidRPr="00BF1502">
              <w:rPr>
                <w:rFonts w:cs="Calibri"/>
                <w:color w:val="000000"/>
                <w:sz w:val="20"/>
                <w:szCs w:val="20"/>
                <w:lang w:val="en-US" w:eastAsia="el-GR"/>
              </w:rPr>
              <w:t>gr</w:t>
            </w:r>
            <w:r w:rsidRPr="00BF1502">
              <w:rPr>
                <w:rFonts w:cs="Calibri"/>
                <w:color w:val="000000"/>
                <w:sz w:val="20"/>
                <w:szCs w:val="20"/>
                <w:lang w:eastAsia="el-GR"/>
              </w:rPr>
              <w:t>) (2)</w:t>
            </w:r>
          </w:p>
        </w:tc>
        <w:tc>
          <w:tcPr>
            <w:tcW w:w="2001" w:type="dxa"/>
            <w:tcBorders>
              <w:top w:val="single" w:sz="4" w:space="0" w:color="auto"/>
              <w:left w:val="nil"/>
              <w:bottom w:val="single" w:sz="4" w:space="0" w:color="auto"/>
              <w:right w:val="nil"/>
            </w:tcBorders>
          </w:tcPr>
          <w:p w:rsidR="0068108F" w:rsidRPr="00BF1502" w:rsidRDefault="0068108F" w:rsidP="00EC0A8A">
            <w:pPr>
              <w:spacing w:line="240" w:lineRule="auto"/>
              <w:jc w:val="center"/>
              <w:rPr>
                <w:rFonts w:cs="Calibri"/>
                <w:color w:val="000000"/>
                <w:sz w:val="20"/>
                <w:szCs w:val="20"/>
                <w:lang w:eastAsia="el-GR"/>
              </w:rPr>
            </w:pPr>
            <w:r w:rsidRPr="00BF1502">
              <w:rPr>
                <w:rFonts w:cs="Calibri"/>
                <w:color w:val="000000"/>
                <w:sz w:val="20"/>
                <w:szCs w:val="20"/>
                <w:lang w:eastAsia="el-GR"/>
              </w:rPr>
              <w:t xml:space="preserve">Μερίδιο προσωπικού </w:t>
            </w:r>
            <w:r>
              <w:rPr>
                <w:rFonts w:cs="Calibri"/>
                <w:color w:val="000000"/>
                <w:sz w:val="20"/>
                <w:szCs w:val="20"/>
                <w:lang w:eastAsia="el-GR"/>
              </w:rPr>
              <w:t xml:space="preserve">με Α.Σ.Ε.Π. </w:t>
            </w:r>
            <w:r w:rsidRPr="00BF1502">
              <w:rPr>
                <w:rFonts w:cs="Calibri"/>
                <w:color w:val="000000"/>
                <w:sz w:val="20"/>
                <w:szCs w:val="20"/>
                <w:lang w:eastAsia="el-GR"/>
              </w:rPr>
              <w:t>(1)/(2)</w:t>
            </w:r>
          </w:p>
        </w:tc>
      </w:tr>
      <w:tr w:rsidR="0068108F" w:rsidRPr="00BF1502" w:rsidTr="009A7E06">
        <w:trPr>
          <w:trHeight w:val="300"/>
          <w:jc w:val="center"/>
        </w:trPr>
        <w:tc>
          <w:tcPr>
            <w:tcW w:w="731" w:type="dxa"/>
            <w:tcBorders>
              <w:top w:val="single" w:sz="4" w:space="0" w:color="auto"/>
              <w:left w:val="nil"/>
              <w:bottom w:val="nil"/>
            </w:tcBorders>
            <w:noWrap/>
            <w:vAlign w:val="center"/>
          </w:tcPr>
          <w:p w:rsidR="0068108F" w:rsidRPr="00BF1502" w:rsidRDefault="0068108F" w:rsidP="009B33BD">
            <w:pPr>
              <w:spacing w:line="240" w:lineRule="auto"/>
              <w:jc w:val="right"/>
              <w:rPr>
                <w:rFonts w:cs="Calibri"/>
                <w:color w:val="000000"/>
                <w:sz w:val="20"/>
                <w:szCs w:val="20"/>
                <w:lang w:eastAsia="el-GR"/>
              </w:rPr>
            </w:pPr>
            <w:r w:rsidRPr="00BF1502">
              <w:rPr>
                <w:rFonts w:cs="Calibri"/>
                <w:color w:val="000000"/>
                <w:sz w:val="20"/>
                <w:szCs w:val="20"/>
                <w:lang w:eastAsia="el-GR"/>
              </w:rPr>
              <w:t>1994</w:t>
            </w:r>
          </w:p>
        </w:tc>
        <w:tc>
          <w:tcPr>
            <w:tcW w:w="1203" w:type="dxa"/>
            <w:tcBorders>
              <w:top w:val="single" w:sz="4" w:space="0" w:color="auto"/>
              <w:left w:val="nil"/>
              <w:bottom w:val="nil"/>
              <w:right w:val="nil"/>
            </w:tcBorders>
            <w:noWrap/>
            <w:vAlign w:val="center"/>
          </w:tcPr>
          <w:p w:rsidR="0068108F" w:rsidRPr="00BF1502" w:rsidRDefault="0068108F" w:rsidP="009B33BD">
            <w:pPr>
              <w:spacing w:line="240" w:lineRule="auto"/>
              <w:jc w:val="right"/>
              <w:rPr>
                <w:sz w:val="20"/>
                <w:szCs w:val="20"/>
              </w:rPr>
            </w:pPr>
            <w:r w:rsidRPr="00BF1502">
              <w:rPr>
                <w:sz w:val="20"/>
                <w:szCs w:val="20"/>
              </w:rPr>
              <w:t>1.248</w:t>
            </w:r>
          </w:p>
        </w:tc>
        <w:tc>
          <w:tcPr>
            <w:tcW w:w="1523" w:type="dxa"/>
            <w:tcBorders>
              <w:top w:val="single" w:sz="4" w:space="0" w:color="auto"/>
              <w:left w:val="nil"/>
              <w:bottom w:val="nil"/>
              <w:right w:val="nil"/>
            </w:tcBorders>
            <w:noWrap/>
            <w:vAlign w:val="center"/>
          </w:tcPr>
          <w:p w:rsidR="0068108F" w:rsidRPr="00BF1502" w:rsidRDefault="0068108F" w:rsidP="009B33BD">
            <w:pPr>
              <w:spacing w:line="240" w:lineRule="auto"/>
              <w:jc w:val="right"/>
              <w:rPr>
                <w:sz w:val="20"/>
                <w:szCs w:val="20"/>
              </w:rPr>
            </w:pPr>
            <w:r w:rsidRPr="00BF1502">
              <w:rPr>
                <w:sz w:val="20"/>
                <w:szCs w:val="20"/>
              </w:rPr>
              <w:t>1.248</w:t>
            </w:r>
          </w:p>
        </w:tc>
        <w:tc>
          <w:tcPr>
            <w:tcW w:w="1996" w:type="dxa"/>
            <w:tcBorders>
              <w:top w:val="single" w:sz="4" w:space="0" w:color="auto"/>
              <w:left w:val="nil"/>
              <w:bottom w:val="nil"/>
              <w:right w:val="nil"/>
            </w:tcBorders>
            <w:noWrap/>
            <w:vAlign w:val="center"/>
          </w:tcPr>
          <w:p w:rsidR="0068108F" w:rsidRPr="00BF1502" w:rsidRDefault="0068108F" w:rsidP="004A56A9">
            <w:pPr>
              <w:spacing w:line="240" w:lineRule="auto"/>
              <w:jc w:val="right"/>
              <w:rPr>
                <w:rFonts w:cs="Calibri"/>
                <w:color w:val="000000"/>
                <w:sz w:val="20"/>
                <w:szCs w:val="20"/>
                <w:lang w:eastAsia="el-GR"/>
              </w:rPr>
            </w:pPr>
            <w:r>
              <w:rPr>
                <w:rFonts w:cs="Calibri"/>
                <w:color w:val="000000"/>
                <w:sz w:val="20"/>
                <w:szCs w:val="20"/>
                <w:lang w:eastAsia="el-GR"/>
              </w:rPr>
              <w:t>-</w:t>
            </w:r>
          </w:p>
        </w:tc>
        <w:tc>
          <w:tcPr>
            <w:tcW w:w="2001" w:type="dxa"/>
            <w:tcBorders>
              <w:top w:val="single" w:sz="4" w:space="0" w:color="auto"/>
              <w:left w:val="nil"/>
              <w:bottom w:val="nil"/>
              <w:right w:val="nil"/>
            </w:tcBorders>
            <w:vAlign w:val="center"/>
          </w:tcPr>
          <w:p w:rsidR="0068108F" w:rsidRPr="00BF1502" w:rsidRDefault="0068108F" w:rsidP="0021648F">
            <w:pPr>
              <w:spacing w:line="240" w:lineRule="auto"/>
              <w:jc w:val="right"/>
              <w:rPr>
                <w:rFonts w:cs="Calibri"/>
                <w:color w:val="000000"/>
                <w:sz w:val="20"/>
                <w:szCs w:val="20"/>
                <w:lang w:eastAsia="el-GR"/>
              </w:rPr>
            </w:pPr>
            <w:r>
              <w:rPr>
                <w:rFonts w:cs="Calibri"/>
                <w:color w:val="000000"/>
                <w:sz w:val="20"/>
                <w:szCs w:val="20"/>
                <w:lang w:eastAsia="el-GR"/>
              </w:rPr>
              <w:t>-</w:t>
            </w:r>
          </w:p>
        </w:tc>
      </w:tr>
      <w:tr w:rsidR="0068108F" w:rsidRPr="00BF1502" w:rsidTr="009A7E06">
        <w:trPr>
          <w:trHeight w:val="300"/>
          <w:jc w:val="center"/>
        </w:trPr>
        <w:tc>
          <w:tcPr>
            <w:tcW w:w="731" w:type="dxa"/>
            <w:tcBorders>
              <w:top w:val="nil"/>
              <w:left w:val="nil"/>
              <w:bottom w:val="nil"/>
            </w:tcBorders>
            <w:noWrap/>
            <w:vAlign w:val="center"/>
          </w:tcPr>
          <w:p w:rsidR="0068108F" w:rsidRPr="00BF1502" w:rsidRDefault="0068108F" w:rsidP="009B33BD">
            <w:pPr>
              <w:spacing w:line="240" w:lineRule="auto"/>
              <w:jc w:val="right"/>
              <w:rPr>
                <w:rFonts w:cs="Calibri"/>
                <w:color w:val="000000"/>
                <w:sz w:val="20"/>
                <w:szCs w:val="20"/>
                <w:lang w:eastAsia="el-GR"/>
              </w:rPr>
            </w:pPr>
            <w:r w:rsidRPr="00BF1502">
              <w:rPr>
                <w:rFonts w:cs="Calibri"/>
                <w:color w:val="000000"/>
                <w:sz w:val="20"/>
                <w:szCs w:val="20"/>
                <w:lang w:eastAsia="el-GR"/>
              </w:rPr>
              <w:t>1995</w:t>
            </w:r>
          </w:p>
        </w:tc>
        <w:tc>
          <w:tcPr>
            <w:tcW w:w="1203" w:type="dxa"/>
            <w:tcBorders>
              <w:top w:val="nil"/>
              <w:left w:val="nil"/>
              <w:bottom w:val="nil"/>
              <w:right w:val="nil"/>
            </w:tcBorders>
            <w:noWrap/>
            <w:vAlign w:val="center"/>
          </w:tcPr>
          <w:p w:rsidR="0068108F" w:rsidRPr="00BF1502" w:rsidRDefault="0068108F" w:rsidP="009B33BD">
            <w:pPr>
              <w:spacing w:line="240" w:lineRule="auto"/>
              <w:jc w:val="right"/>
              <w:rPr>
                <w:sz w:val="20"/>
                <w:szCs w:val="20"/>
              </w:rPr>
            </w:pPr>
            <w:r w:rsidRPr="00BF1502">
              <w:rPr>
                <w:sz w:val="20"/>
                <w:szCs w:val="20"/>
              </w:rPr>
              <w:t>7.964</w:t>
            </w:r>
          </w:p>
        </w:tc>
        <w:tc>
          <w:tcPr>
            <w:tcW w:w="1523" w:type="dxa"/>
            <w:tcBorders>
              <w:top w:val="nil"/>
              <w:left w:val="nil"/>
              <w:bottom w:val="nil"/>
              <w:right w:val="nil"/>
            </w:tcBorders>
            <w:noWrap/>
            <w:vAlign w:val="center"/>
          </w:tcPr>
          <w:p w:rsidR="0068108F" w:rsidRPr="00BF1502" w:rsidRDefault="0068108F" w:rsidP="009B33BD">
            <w:pPr>
              <w:spacing w:line="240" w:lineRule="auto"/>
              <w:jc w:val="right"/>
              <w:rPr>
                <w:sz w:val="20"/>
                <w:szCs w:val="20"/>
              </w:rPr>
            </w:pPr>
            <w:r w:rsidRPr="00BF1502">
              <w:rPr>
                <w:sz w:val="20"/>
                <w:szCs w:val="20"/>
              </w:rPr>
              <w:t>9.212</w:t>
            </w:r>
          </w:p>
        </w:tc>
        <w:tc>
          <w:tcPr>
            <w:tcW w:w="1996" w:type="dxa"/>
            <w:tcBorders>
              <w:top w:val="nil"/>
              <w:left w:val="nil"/>
              <w:bottom w:val="nil"/>
              <w:right w:val="nil"/>
            </w:tcBorders>
            <w:noWrap/>
            <w:vAlign w:val="center"/>
          </w:tcPr>
          <w:p w:rsidR="0068108F" w:rsidRPr="00BF1502" w:rsidRDefault="0068108F" w:rsidP="009B33BD">
            <w:pPr>
              <w:spacing w:line="240" w:lineRule="auto"/>
              <w:jc w:val="right"/>
              <w:rPr>
                <w:rFonts w:cs="Calibri"/>
                <w:color w:val="000000"/>
                <w:sz w:val="20"/>
                <w:szCs w:val="20"/>
                <w:lang w:eastAsia="el-GR"/>
              </w:rPr>
            </w:pPr>
            <w:r>
              <w:rPr>
                <w:rFonts w:cs="Calibri"/>
                <w:color w:val="000000"/>
                <w:sz w:val="20"/>
                <w:szCs w:val="20"/>
                <w:lang w:eastAsia="el-GR"/>
              </w:rPr>
              <w:t>-</w:t>
            </w:r>
          </w:p>
        </w:tc>
        <w:tc>
          <w:tcPr>
            <w:tcW w:w="2001" w:type="dxa"/>
            <w:tcBorders>
              <w:top w:val="nil"/>
              <w:left w:val="nil"/>
              <w:bottom w:val="nil"/>
              <w:right w:val="nil"/>
            </w:tcBorders>
            <w:vAlign w:val="center"/>
          </w:tcPr>
          <w:p w:rsidR="0068108F" w:rsidRPr="00BF1502" w:rsidRDefault="0068108F" w:rsidP="0021648F">
            <w:pPr>
              <w:spacing w:line="240" w:lineRule="auto"/>
              <w:jc w:val="right"/>
              <w:rPr>
                <w:rFonts w:cs="Calibri"/>
                <w:color w:val="000000"/>
                <w:sz w:val="20"/>
                <w:szCs w:val="20"/>
                <w:lang w:eastAsia="el-GR"/>
              </w:rPr>
            </w:pPr>
            <w:r>
              <w:rPr>
                <w:rFonts w:cs="Calibri"/>
                <w:color w:val="000000"/>
                <w:sz w:val="20"/>
                <w:szCs w:val="20"/>
                <w:lang w:eastAsia="el-GR"/>
              </w:rPr>
              <w:t>-</w:t>
            </w:r>
          </w:p>
        </w:tc>
      </w:tr>
      <w:tr w:rsidR="0068108F" w:rsidRPr="00BF1502" w:rsidTr="009A7E06">
        <w:trPr>
          <w:trHeight w:val="300"/>
          <w:jc w:val="center"/>
        </w:trPr>
        <w:tc>
          <w:tcPr>
            <w:tcW w:w="731" w:type="dxa"/>
            <w:tcBorders>
              <w:top w:val="nil"/>
              <w:left w:val="nil"/>
              <w:bottom w:val="nil"/>
            </w:tcBorders>
            <w:noWrap/>
            <w:vAlign w:val="center"/>
          </w:tcPr>
          <w:p w:rsidR="0068108F" w:rsidRPr="00BF1502" w:rsidRDefault="0068108F" w:rsidP="009B33BD">
            <w:pPr>
              <w:spacing w:line="240" w:lineRule="auto"/>
              <w:jc w:val="right"/>
              <w:rPr>
                <w:sz w:val="20"/>
                <w:szCs w:val="20"/>
              </w:rPr>
            </w:pPr>
            <w:r w:rsidRPr="00BF1502">
              <w:rPr>
                <w:sz w:val="20"/>
                <w:szCs w:val="20"/>
              </w:rPr>
              <w:t>1996</w:t>
            </w:r>
          </w:p>
        </w:tc>
        <w:tc>
          <w:tcPr>
            <w:tcW w:w="1203" w:type="dxa"/>
            <w:tcBorders>
              <w:top w:val="nil"/>
              <w:left w:val="nil"/>
              <w:bottom w:val="nil"/>
              <w:right w:val="nil"/>
            </w:tcBorders>
            <w:noWrap/>
            <w:vAlign w:val="center"/>
          </w:tcPr>
          <w:p w:rsidR="0068108F" w:rsidRPr="00BF1502" w:rsidRDefault="0068108F" w:rsidP="009B33BD">
            <w:pPr>
              <w:spacing w:line="240" w:lineRule="auto"/>
              <w:jc w:val="right"/>
              <w:rPr>
                <w:sz w:val="20"/>
                <w:szCs w:val="20"/>
              </w:rPr>
            </w:pPr>
            <w:r w:rsidRPr="00BF1502">
              <w:rPr>
                <w:sz w:val="20"/>
                <w:szCs w:val="20"/>
              </w:rPr>
              <w:t>3.267</w:t>
            </w:r>
          </w:p>
        </w:tc>
        <w:tc>
          <w:tcPr>
            <w:tcW w:w="1523" w:type="dxa"/>
            <w:tcBorders>
              <w:top w:val="nil"/>
              <w:left w:val="nil"/>
              <w:bottom w:val="nil"/>
              <w:right w:val="nil"/>
            </w:tcBorders>
            <w:noWrap/>
            <w:vAlign w:val="center"/>
          </w:tcPr>
          <w:p w:rsidR="0068108F" w:rsidRPr="00BF1502" w:rsidRDefault="0068108F" w:rsidP="009B33BD">
            <w:pPr>
              <w:spacing w:line="240" w:lineRule="auto"/>
              <w:jc w:val="right"/>
              <w:rPr>
                <w:sz w:val="20"/>
                <w:szCs w:val="20"/>
              </w:rPr>
            </w:pPr>
            <w:r w:rsidRPr="00BF1502">
              <w:rPr>
                <w:sz w:val="20"/>
                <w:szCs w:val="20"/>
              </w:rPr>
              <w:t>12.479</w:t>
            </w:r>
          </w:p>
        </w:tc>
        <w:tc>
          <w:tcPr>
            <w:tcW w:w="1996" w:type="dxa"/>
            <w:tcBorders>
              <w:top w:val="nil"/>
              <w:left w:val="nil"/>
              <w:bottom w:val="nil"/>
              <w:right w:val="nil"/>
            </w:tcBorders>
            <w:noWrap/>
            <w:vAlign w:val="center"/>
          </w:tcPr>
          <w:p w:rsidR="0068108F" w:rsidRPr="00BF1502" w:rsidRDefault="0068108F" w:rsidP="009B33BD">
            <w:pPr>
              <w:spacing w:line="240" w:lineRule="auto"/>
              <w:jc w:val="right"/>
              <w:rPr>
                <w:sz w:val="20"/>
                <w:szCs w:val="20"/>
              </w:rPr>
            </w:pPr>
            <w:r>
              <w:rPr>
                <w:sz w:val="20"/>
                <w:szCs w:val="20"/>
              </w:rPr>
              <w:t>-</w:t>
            </w:r>
          </w:p>
        </w:tc>
        <w:tc>
          <w:tcPr>
            <w:tcW w:w="2001" w:type="dxa"/>
            <w:tcBorders>
              <w:top w:val="nil"/>
              <w:left w:val="nil"/>
              <w:bottom w:val="nil"/>
              <w:right w:val="nil"/>
            </w:tcBorders>
            <w:vAlign w:val="center"/>
          </w:tcPr>
          <w:p w:rsidR="0068108F" w:rsidRPr="00BF1502" w:rsidRDefault="0068108F" w:rsidP="0021648F">
            <w:pPr>
              <w:spacing w:line="240" w:lineRule="auto"/>
              <w:jc w:val="right"/>
              <w:rPr>
                <w:sz w:val="20"/>
                <w:szCs w:val="20"/>
              </w:rPr>
            </w:pPr>
            <w:r>
              <w:rPr>
                <w:sz w:val="20"/>
                <w:szCs w:val="20"/>
              </w:rPr>
              <w:t>-</w:t>
            </w:r>
          </w:p>
        </w:tc>
      </w:tr>
      <w:tr w:rsidR="0068108F" w:rsidRPr="00BF1502" w:rsidTr="009A7E06">
        <w:trPr>
          <w:trHeight w:val="300"/>
          <w:jc w:val="center"/>
        </w:trPr>
        <w:tc>
          <w:tcPr>
            <w:tcW w:w="731" w:type="dxa"/>
            <w:tcBorders>
              <w:top w:val="nil"/>
              <w:left w:val="nil"/>
              <w:bottom w:val="nil"/>
            </w:tcBorders>
            <w:noWrap/>
            <w:vAlign w:val="center"/>
          </w:tcPr>
          <w:p w:rsidR="0068108F" w:rsidRPr="00BF1502" w:rsidRDefault="0068108F" w:rsidP="009B33BD">
            <w:pPr>
              <w:spacing w:line="240" w:lineRule="auto"/>
              <w:jc w:val="right"/>
              <w:rPr>
                <w:sz w:val="20"/>
                <w:szCs w:val="20"/>
              </w:rPr>
            </w:pPr>
            <w:r w:rsidRPr="00BF1502">
              <w:rPr>
                <w:sz w:val="20"/>
                <w:szCs w:val="20"/>
              </w:rPr>
              <w:t>1997</w:t>
            </w:r>
          </w:p>
        </w:tc>
        <w:tc>
          <w:tcPr>
            <w:tcW w:w="1203" w:type="dxa"/>
            <w:tcBorders>
              <w:top w:val="nil"/>
              <w:left w:val="nil"/>
              <w:bottom w:val="nil"/>
              <w:right w:val="nil"/>
            </w:tcBorders>
            <w:noWrap/>
            <w:vAlign w:val="center"/>
          </w:tcPr>
          <w:p w:rsidR="0068108F" w:rsidRPr="00BF1502" w:rsidRDefault="0068108F" w:rsidP="009B33BD">
            <w:pPr>
              <w:spacing w:line="240" w:lineRule="auto"/>
              <w:jc w:val="right"/>
              <w:rPr>
                <w:sz w:val="20"/>
                <w:szCs w:val="20"/>
              </w:rPr>
            </w:pPr>
            <w:r w:rsidRPr="00BF1502">
              <w:rPr>
                <w:sz w:val="20"/>
                <w:szCs w:val="20"/>
              </w:rPr>
              <w:t>5.441</w:t>
            </w:r>
          </w:p>
        </w:tc>
        <w:tc>
          <w:tcPr>
            <w:tcW w:w="1523" w:type="dxa"/>
            <w:tcBorders>
              <w:top w:val="nil"/>
              <w:left w:val="nil"/>
              <w:bottom w:val="nil"/>
              <w:right w:val="nil"/>
            </w:tcBorders>
            <w:noWrap/>
            <w:vAlign w:val="center"/>
          </w:tcPr>
          <w:p w:rsidR="0068108F" w:rsidRPr="00BF1502" w:rsidRDefault="0068108F" w:rsidP="009B33BD">
            <w:pPr>
              <w:spacing w:line="240" w:lineRule="auto"/>
              <w:jc w:val="right"/>
              <w:rPr>
                <w:sz w:val="20"/>
                <w:szCs w:val="20"/>
              </w:rPr>
            </w:pPr>
            <w:r w:rsidRPr="00BF1502">
              <w:rPr>
                <w:sz w:val="20"/>
                <w:szCs w:val="20"/>
              </w:rPr>
              <w:t>17.920</w:t>
            </w:r>
          </w:p>
        </w:tc>
        <w:tc>
          <w:tcPr>
            <w:tcW w:w="1996" w:type="dxa"/>
            <w:tcBorders>
              <w:top w:val="nil"/>
              <w:left w:val="nil"/>
              <w:bottom w:val="nil"/>
              <w:right w:val="nil"/>
            </w:tcBorders>
            <w:noWrap/>
            <w:vAlign w:val="center"/>
          </w:tcPr>
          <w:p w:rsidR="0068108F" w:rsidRPr="00BF1502" w:rsidRDefault="0068108F" w:rsidP="009B33BD">
            <w:pPr>
              <w:spacing w:line="240" w:lineRule="auto"/>
              <w:jc w:val="right"/>
              <w:rPr>
                <w:sz w:val="20"/>
                <w:szCs w:val="20"/>
              </w:rPr>
            </w:pPr>
            <w:r>
              <w:rPr>
                <w:sz w:val="20"/>
                <w:szCs w:val="20"/>
              </w:rPr>
              <w:t>-</w:t>
            </w:r>
          </w:p>
        </w:tc>
        <w:tc>
          <w:tcPr>
            <w:tcW w:w="2001" w:type="dxa"/>
            <w:tcBorders>
              <w:top w:val="nil"/>
              <w:left w:val="nil"/>
              <w:bottom w:val="nil"/>
              <w:right w:val="nil"/>
            </w:tcBorders>
            <w:vAlign w:val="center"/>
          </w:tcPr>
          <w:p w:rsidR="0068108F" w:rsidRPr="00BF1502" w:rsidRDefault="0068108F" w:rsidP="0021648F">
            <w:pPr>
              <w:spacing w:line="240" w:lineRule="auto"/>
              <w:jc w:val="right"/>
              <w:rPr>
                <w:sz w:val="20"/>
                <w:szCs w:val="20"/>
              </w:rPr>
            </w:pPr>
            <w:r>
              <w:rPr>
                <w:sz w:val="20"/>
                <w:szCs w:val="20"/>
              </w:rPr>
              <w:t>-</w:t>
            </w:r>
          </w:p>
        </w:tc>
      </w:tr>
      <w:tr w:rsidR="0068108F" w:rsidRPr="00BF1502" w:rsidTr="009A7E06">
        <w:trPr>
          <w:trHeight w:val="300"/>
          <w:jc w:val="center"/>
        </w:trPr>
        <w:tc>
          <w:tcPr>
            <w:tcW w:w="731" w:type="dxa"/>
            <w:tcBorders>
              <w:top w:val="nil"/>
              <w:left w:val="nil"/>
              <w:bottom w:val="nil"/>
            </w:tcBorders>
            <w:noWrap/>
            <w:vAlign w:val="center"/>
          </w:tcPr>
          <w:p w:rsidR="0068108F" w:rsidRPr="00BF1502" w:rsidRDefault="0068108F" w:rsidP="009B33BD">
            <w:pPr>
              <w:spacing w:line="240" w:lineRule="auto"/>
              <w:jc w:val="right"/>
              <w:rPr>
                <w:sz w:val="20"/>
                <w:szCs w:val="20"/>
              </w:rPr>
            </w:pPr>
            <w:r w:rsidRPr="00BF1502">
              <w:rPr>
                <w:sz w:val="20"/>
                <w:szCs w:val="20"/>
              </w:rPr>
              <w:t>1998</w:t>
            </w:r>
          </w:p>
        </w:tc>
        <w:tc>
          <w:tcPr>
            <w:tcW w:w="1203" w:type="dxa"/>
            <w:tcBorders>
              <w:top w:val="nil"/>
              <w:left w:val="nil"/>
              <w:bottom w:val="nil"/>
              <w:right w:val="nil"/>
            </w:tcBorders>
            <w:noWrap/>
            <w:vAlign w:val="center"/>
          </w:tcPr>
          <w:p w:rsidR="0068108F" w:rsidRPr="00BF1502" w:rsidRDefault="0068108F" w:rsidP="009B33BD">
            <w:pPr>
              <w:spacing w:line="240" w:lineRule="auto"/>
              <w:jc w:val="right"/>
              <w:rPr>
                <w:sz w:val="20"/>
                <w:szCs w:val="20"/>
              </w:rPr>
            </w:pPr>
            <w:r w:rsidRPr="00BF1502">
              <w:rPr>
                <w:sz w:val="20"/>
                <w:szCs w:val="20"/>
              </w:rPr>
              <w:t>8.602</w:t>
            </w:r>
          </w:p>
        </w:tc>
        <w:tc>
          <w:tcPr>
            <w:tcW w:w="1523" w:type="dxa"/>
            <w:tcBorders>
              <w:top w:val="nil"/>
              <w:left w:val="nil"/>
              <w:bottom w:val="nil"/>
              <w:right w:val="nil"/>
            </w:tcBorders>
            <w:noWrap/>
            <w:vAlign w:val="center"/>
          </w:tcPr>
          <w:p w:rsidR="0068108F" w:rsidRPr="00BF1502" w:rsidRDefault="0068108F" w:rsidP="009B33BD">
            <w:pPr>
              <w:spacing w:line="240" w:lineRule="auto"/>
              <w:jc w:val="right"/>
              <w:rPr>
                <w:sz w:val="20"/>
                <w:szCs w:val="20"/>
              </w:rPr>
            </w:pPr>
            <w:r w:rsidRPr="00BF1502">
              <w:rPr>
                <w:sz w:val="20"/>
                <w:szCs w:val="20"/>
              </w:rPr>
              <w:t>26.522</w:t>
            </w:r>
          </w:p>
        </w:tc>
        <w:tc>
          <w:tcPr>
            <w:tcW w:w="1996" w:type="dxa"/>
            <w:tcBorders>
              <w:top w:val="nil"/>
              <w:left w:val="nil"/>
              <w:bottom w:val="nil"/>
              <w:right w:val="nil"/>
            </w:tcBorders>
            <w:noWrap/>
            <w:vAlign w:val="center"/>
          </w:tcPr>
          <w:p w:rsidR="0068108F" w:rsidRPr="00BF1502" w:rsidRDefault="0068108F" w:rsidP="009B33BD">
            <w:pPr>
              <w:spacing w:line="240" w:lineRule="auto"/>
              <w:jc w:val="right"/>
              <w:rPr>
                <w:sz w:val="20"/>
                <w:szCs w:val="20"/>
              </w:rPr>
            </w:pPr>
            <w:r>
              <w:rPr>
                <w:sz w:val="20"/>
                <w:szCs w:val="20"/>
              </w:rPr>
              <w:t>-</w:t>
            </w:r>
          </w:p>
        </w:tc>
        <w:tc>
          <w:tcPr>
            <w:tcW w:w="2001" w:type="dxa"/>
            <w:tcBorders>
              <w:top w:val="nil"/>
              <w:left w:val="nil"/>
              <w:bottom w:val="nil"/>
              <w:right w:val="nil"/>
            </w:tcBorders>
            <w:vAlign w:val="center"/>
          </w:tcPr>
          <w:p w:rsidR="0068108F" w:rsidRPr="00BF1502" w:rsidRDefault="0068108F" w:rsidP="0021648F">
            <w:pPr>
              <w:spacing w:line="240" w:lineRule="auto"/>
              <w:jc w:val="right"/>
              <w:rPr>
                <w:sz w:val="20"/>
                <w:szCs w:val="20"/>
              </w:rPr>
            </w:pPr>
            <w:r>
              <w:rPr>
                <w:sz w:val="20"/>
                <w:szCs w:val="20"/>
              </w:rPr>
              <w:t>-</w:t>
            </w:r>
          </w:p>
        </w:tc>
      </w:tr>
      <w:tr w:rsidR="0068108F" w:rsidRPr="00BF1502" w:rsidTr="009A7E06">
        <w:trPr>
          <w:trHeight w:val="300"/>
          <w:jc w:val="center"/>
        </w:trPr>
        <w:tc>
          <w:tcPr>
            <w:tcW w:w="731" w:type="dxa"/>
            <w:tcBorders>
              <w:top w:val="nil"/>
              <w:left w:val="nil"/>
              <w:bottom w:val="nil"/>
            </w:tcBorders>
            <w:noWrap/>
            <w:vAlign w:val="center"/>
          </w:tcPr>
          <w:p w:rsidR="0068108F" w:rsidRPr="00BF1502" w:rsidRDefault="0068108F" w:rsidP="009B33BD">
            <w:pPr>
              <w:spacing w:line="240" w:lineRule="auto"/>
              <w:jc w:val="right"/>
              <w:rPr>
                <w:sz w:val="20"/>
                <w:szCs w:val="20"/>
              </w:rPr>
            </w:pPr>
            <w:r w:rsidRPr="00BF1502">
              <w:rPr>
                <w:sz w:val="20"/>
                <w:szCs w:val="20"/>
              </w:rPr>
              <w:t>1999</w:t>
            </w:r>
          </w:p>
        </w:tc>
        <w:tc>
          <w:tcPr>
            <w:tcW w:w="1203" w:type="dxa"/>
            <w:tcBorders>
              <w:top w:val="nil"/>
              <w:left w:val="nil"/>
              <w:bottom w:val="nil"/>
              <w:right w:val="nil"/>
            </w:tcBorders>
            <w:noWrap/>
            <w:vAlign w:val="center"/>
          </w:tcPr>
          <w:p w:rsidR="0068108F" w:rsidRPr="00BF1502" w:rsidRDefault="0068108F" w:rsidP="009B33BD">
            <w:pPr>
              <w:spacing w:line="240" w:lineRule="auto"/>
              <w:jc w:val="right"/>
              <w:rPr>
                <w:sz w:val="20"/>
                <w:szCs w:val="20"/>
              </w:rPr>
            </w:pPr>
            <w:r w:rsidRPr="00BF1502">
              <w:rPr>
                <w:sz w:val="20"/>
                <w:szCs w:val="20"/>
              </w:rPr>
              <w:t>6.747</w:t>
            </w:r>
          </w:p>
        </w:tc>
        <w:tc>
          <w:tcPr>
            <w:tcW w:w="1523" w:type="dxa"/>
            <w:tcBorders>
              <w:top w:val="nil"/>
              <w:left w:val="nil"/>
              <w:bottom w:val="nil"/>
              <w:right w:val="nil"/>
            </w:tcBorders>
            <w:noWrap/>
            <w:vAlign w:val="center"/>
          </w:tcPr>
          <w:p w:rsidR="0068108F" w:rsidRPr="00BF1502" w:rsidRDefault="0068108F" w:rsidP="009B33BD">
            <w:pPr>
              <w:spacing w:line="240" w:lineRule="auto"/>
              <w:jc w:val="right"/>
              <w:rPr>
                <w:sz w:val="20"/>
                <w:szCs w:val="20"/>
              </w:rPr>
            </w:pPr>
            <w:r w:rsidRPr="00BF1502">
              <w:rPr>
                <w:sz w:val="20"/>
                <w:szCs w:val="20"/>
              </w:rPr>
              <w:t>33.269</w:t>
            </w:r>
          </w:p>
        </w:tc>
        <w:tc>
          <w:tcPr>
            <w:tcW w:w="1996" w:type="dxa"/>
            <w:tcBorders>
              <w:top w:val="nil"/>
              <w:left w:val="nil"/>
              <w:bottom w:val="nil"/>
              <w:right w:val="nil"/>
            </w:tcBorders>
            <w:noWrap/>
            <w:vAlign w:val="center"/>
          </w:tcPr>
          <w:p w:rsidR="0068108F" w:rsidRPr="00BF1502" w:rsidRDefault="0068108F" w:rsidP="009B33BD">
            <w:pPr>
              <w:spacing w:line="240" w:lineRule="auto"/>
              <w:jc w:val="right"/>
              <w:rPr>
                <w:sz w:val="20"/>
                <w:szCs w:val="20"/>
              </w:rPr>
            </w:pPr>
            <w:r>
              <w:rPr>
                <w:sz w:val="20"/>
                <w:szCs w:val="20"/>
              </w:rPr>
              <w:t>-</w:t>
            </w:r>
          </w:p>
        </w:tc>
        <w:tc>
          <w:tcPr>
            <w:tcW w:w="2001" w:type="dxa"/>
            <w:tcBorders>
              <w:top w:val="nil"/>
              <w:left w:val="nil"/>
              <w:bottom w:val="nil"/>
              <w:right w:val="nil"/>
            </w:tcBorders>
            <w:vAlign w:val="center"/>
          </w:tcPr>
          <w:p w:rsidR="0068108F" w:rsidRPr="00BF1502" w:rsidRDefault="0068108F" w:rsidP="0021648F">
            <w:pPr>
              <w:spacing w:line="240" w:lineRule="auto"/>
              <w:jc w:val="right"/>
              <w:rPr>
                <w:sz w:val="20"/>
                <w:szCs w:val="20"/>
              </w:rPr>
            </w:pPr>
            <w:r>
              <w:rPr>
                <w:sz w:val="20"/>
                <w:szCs w:val="20"/>
              </w:rPr>
              <w:t>-</w:t>
            </w:r>
          </w:p>
        </w:tc>
      </w:tr>
      <w:tr w:rsidR="0068108F" w:rsidRPr="00BF1502" w:rsidTr="009A7E06">
        <w:trPr>
          <w:trHeight w:val="300"/>
          <w:jc w:val="center"/>
        </w:trPr>
        <w:tc>
          <w:tcPr>
            <w:tcW w:w="731" w:type="dxa"/>
            <w:tcBorders>
              <w:top w:val="nil"/>
              <w:left w:val="nil"/>
              <w:bottom w:val="nil"/>
            </w:tcBorders>
            <w:noWrap/>
            <w:vAlign w:val="center"/>
          </w:tcPr>
          <w:p w:rsidR="0068108F" w:rsidRPr="00BF1502" w:rsidRDefault="0068108F" w:rsidP="009B33BD">
            <w:pPr>
              <w:spacing w:line="240" w:lineRule="auto"/>
              <w:jc w:val="right"/>
              <w:rPr>
                <w:sz w:val="20"/>
                <w:szCs w:val="20"/>
              </w:rPr>
            </w:pPr>
            <w:r w:rsidRPr="00BF1502">
              <w:rPr>
                <w:sz w:val="20"/>
                <w:szCs w:val="20"/>
              </w:rPr>
              <w:t>2000</w:t>
            </w:r>
          </w:p>
        </w:tc>
        <w:tc>
          <w:tcPr>
            <w:tcW w:w="1203" w:type="dxa"/>
            <w:tcBorders>
              <w:top w:val="nil"/>
              <w:left w:val="nil"/>
              <w:bottom w:val="nil"/>
              <w:right w:val="nil"/>
            </w:tcBorders>
            <w:noWrap/>
            <w:vAlign w:val="center"/>
          </w:tcPr>
          <w:p w:rsidR="0068108F" w:rsidRPr="00BF1502" w:rsidRDefault="0068108F" w:rsidP="009B33BD">
            <w:pPr>
              <w:spacing w:line="240" w:lineRule="auto"/>
              <w:jc w:val="right"/>
              <w:rPr>
                <w:sz w:val="20"/>
                <w:szCs w:val="20"/>
              </w:rPr>
            </w:pPr>
            <w:r w:rsidRPr="00BF1502">
              <w:rPr>
                <w:sz w:val="20"/>
                <w:szCs w:val="20"/>
              </w:rPr>
              <w:t>11.375</w:t>
            </w:r>
          </w:p>
        </w:tc>
        <w:tc>
          <w:tcPr>
            <w:tcW w:w="1523" w:type="dxa"/>
            <w:tcBorders>
              <w:top w:val="nil"/>
              <w:left w:val="nil"/>
              <w:bottom w:val="nil"/>
              <w:right w:val="nil"/>
            </w:tcBorders>
            <w:noWrap/>
            <w:vAlign w:val="center"/>
          </w:tcPr>
          <w:p w:rsidR="0068108F" w:rsidRPr="00BF1502" w:rsidRDefault="0068108F" w:rsidP="009B33BD">
            <w:pPr>
              <w:spacing w:line="240" w:lineRule="auto"/>
              <w:jc w:val="right"/>
              <w:rPr>
                <w:sz w:val="20"/>
                <w:szCs w:val="20"/>
              </w:rPr>
            </w:pPr>
            <w:r w:rsidRPr="00BF1502">
              <w:rPr>
                <w:sz w:val="20"/>
                <w:szCs w:val="20"/>
              </w:rPr>
              <w:t>44.644</w:t>
            </w:r>
          </w:p>
        </w:tc>
        <w:tc>
          <w:tcPr>
            <w:tcW w:w="1996" w:type="dxa"/>
            <w:tcBorders>
              <w:top w:val="nil"/>
              <w:left w:val="nil"/>
              <w:bottom w:val="nil"/>
              <w:right w:val="nil"/>
            </w:tcBorders>
            <w:noWrap/>
            <w:vAlign w:val="center"/>
          </w:tcPr>
          <w:p w:rsidR="0068108F" w:rsidRPr="00BF1502" w:rsidRDefault="0068108F" w:rsidP="004E3CDE">
            <w:pPr>
              <w:spacing w:line="240" w:lineRule="auto"/>
              <w:jc w:val="right"/>
              <w:rPr>
                <w:sz w:val="20"/>
                <w:szCs w:val="20"/>
              </w:rPr>
            </w:pPr>
            <w:r>
              <w:rPr>
                <w:sz w:val="20"/>
                <w:szCs w:val="20"/>
              </w:rPr>
              <w:t>-</w:t>
            </w:r>
          </w:p>
        </w:tc>
        <w:tc>
          <w:tcPr>
            <w:tcW w:w="2001" w:type="dxa"/>
            <w:tcBorders>
              <w:top w:val="nil"/>
              <w:left w:val="nil"/>
              <w:bottom w:val="nil"/>
              <w:right w:val="nil"/>
            </w:tcBorders>
            <w:vAlign w:val="center"/>
          </w:tcPr>
          <w:p w:rsidR="0068108F" w:rsidRPr="00BF1502" w:rsidRDefault="0068108F" w:rsidP="0021648F">
            <w:pPr>
              <w:spacing w:line="240" w:lineRule="auto"/>
              <w:jc w:val="right"/>
              <w:rPr>
                <w:sz w:val="20"/>
                <w:szCs w:val="20"/>
              </w:rPr>
            </w:pPr>
            <w:r>
              <w:rPr>
                <w:sz w:val="20"/>
                <w:szCs w:val="20"/>
              </w:rPr>
              <w:t>-</w:t>
            </w:r>
          </w:p>
        </w:tc>
      </w:tr>
      <w:tr w:rsidR="0068108F" w:rsidRPr="00BF1502" w:rsidTr="009A7E06">
        <w:trPr>
          <w:trHeight w:val="300"/>
          <w:jc w:val="center"/>
        </w:trPr>
        <w:tc>
          <w:tcPr>
            <w:tcW w:w="731" w:type="dxa"/>
            <w:tcBorders>
              <w:top w:val="nil"/>
              <w:left w:val="nil"/>
              <w:bottom w:val="nil"/>
            </w:tcBorders>
            <w:noWrap/>
            <w:vAlign w:val="center"/>
          </w:tcPr>
          <w:p w:rsidR="0068108F" w:rsidRPr="00BF1502" w:rsidRDefault="0068108F" w:rsidP="009B33BD">
            <w:pPr>
              <w:spacing w:line="240" w:lineRule="auto"/>
              <w:jc w:val="right"/>
              <w:rPr>
                <w:sz w:val="20"/>
                <w:szCs w:val="20"/>
              </w:rPr>
            </w:pPr>
            <w:r w:rsidRPr="00BF1502">
              <w:rPr>
                <w:sz w:val="20"/>
                <w:szCs w:val="20"/>
              </w:rPr>
              <w:t>2001</w:t>
            </w:r>
          </w:p>
        </w:tc>
        <w:tc>
          <w:tcPr>
            <w:tcW w:w="1203" w:type="dxa"/>
            <w:tcBorders>
              <w:top w:val="nil"/>
              <w:left w:val="nil"/>
              <w:bottom w:val="nil"/>
              <w:right w:val="nil"/>
            </w:tcBorders>
            <w:noWrap/>
            <w:vAlign w:val="center"/>
          </w:tcPr>
          <w:p w:rsidR="0068108F" w:rsidRPr="00BF1502" w:rsidRDefault="0068108F" w:rsidP="009B33BD">
            <w:pPr>
              <w:spacing w:line="240" w:lineRule="auto"/>
              <w:jc w:val="right"/>
              <w:rPr>
                <w:sz w:val="20"/>
                <w:szCs w:val="20"/>
              </w:rPr>
            </w:pPr>
            <w:r w:rsidRPr="00BF1502">
              <w:rPr>
                <w:sz w:val="20"/>
                <w:szCs w:val="20"/>
              </w:rPr>
              <w:t>20.430</w:t>
            </w:r>
          </w:p>
        </w:tc>
        <w:tc>
          <w:tcPr>
            <w:tcW w:w="1523" w:type="dxa"/>
            <w:tcBorders>
              <w:top w:val="nil"/>
              <w:left w:val="nil"/>
              <w:bottom w:val="nil"/>
              <w:right w:val="nil"/>
            </w:tcBorders>
            <w:noWrap/>
            <w:vAlign w:val="center"/>
          </w:tcPr>
          <w:p w:rsidR="0068108F" w:rsidRPr="00BF1502" w:rsidRDefault="0068108F" w:rsidP="009B33BD">
            <w:pPr>
              <w:spacing w:line="240" w:lineRule="auto"/>
              <w:jc w:val="right"/>
              <w:rPr>
                <w:sz w:val="20"/>
                <w:szCs w:val="20"/>
              </w:rPr>
            </w:pPr>
            <w:r w:rsidRPr="00BF1502">
              <w:rPr>
                <w:sz w:val="20"/>
                <w:szCs w:val="20"/>
              </w:rPr>
              <w:t>65.074</w:t>
            </w:r>
          </w:p>
        </w:tc>
        <w:tc>
          <w:tcPr>
            <w:tcW w:w="1996" w:type="dxa"/>
            <w:tcBorders>
              <w:top w:val="nil"/>
              <w:left w:val="nil"/>
              <w:bottom w:val="nil"/>
              <w:right w:val="nil"/>
            </w:tcBorders>
            <w:noWrap/>
            <w:vAlign w:val="center"/>
          </w:tcPr>
          <w:p w:rsidR="0068108F" w:rsidRPr="00BF1502" w:rsidRDefault="0068108F" w:rsidP="004E3CDE">
            <w:pPr>
              <w:spacing w:line="240" w:lineRule="auto"/>
              <w:jc w:val="right"/>
              <w:rPr>
                <w:sz w:val="20"/>
                <w:szCs w:val="20"/>
              </w:rPr>
            </w:pPr>
            <w:r>
              <w:rPr>
                <w:sz w:val="20"/>
                <w:szCs w:val="20"/>
              </w:rPr>
              <w:t>-</w:t>
            </w:r>
          </w:p>
        </w:tc>
        <w:tc>
          <w:tcPr>
            <w:tcW w:w="2001" w:type="dxa"/>
            <w:tcBorders>
              <w:top w:val="nil"/>
              <w:left w:val="nil"/>
              <w:bottom w:val="nil"/>
              <w:right w:val="nil"/>
            </w:tcBorders>
            <w:vAlign w:val="center"/>
          </w:tcPr>
          <w:p w:rsidR="0068108F" w:rsidRPr="00BF1502" w:rsidRDefault="0068108F" w:rsidP="0021648F">
            <w:pPr>
              <w:spacing w:line="240" w:lineRule="auto"/>
              <w:jc w:val="right"/>
              <w:rPr>
                <w:sz w:val="20"/>
                <w:szCs w:val="20"/>
              </w:rPr>
            </w:pPr>
            <w:r>
              <w:rPr>
                <w:sz w:val="20"/>
                <w:szCs w:val="20"/>
              </w:rPr>
              <w:t>-</w:t>
            </w:r>
          </w:p>
        </w:tc>
      </w:tr>
      <w:tr w:rsidR="0068108F" w:rsidRPr="00BF1502" w:rsidTr="009A7E06">
        <w:trPr>
          <w:trHeight w:val="300"/>
          <w:jc w:val="center"/>
        </w:trPr>
        <w:tc>
          <w:tcPr>
            <w:tcW w:w="731" w:type="dxa"/>
            <w:tcBorders>
              <w:top w:val="nil"/>
              <w:left w:val="nil"/>
              <w:bottom w:val="nil"/>
            </w:tcBorders>
            <w:noWrap/>
            <w:vAlign w:val="center"/>
          </w:tcPr>
          <w:p w:rsidR="0068108F" w:rsidRPr="00BF1502" w:rsidRDefault="0068108F" w:rsidP="009B33BD">
            <w:pPr>
              <w:spacing w:line="240" w:lineRule="auto"/>
              <w:jc w:val="right"/>
              <w:rPr>
                <w:sz w:val="20"/>
                <w:szCs w:val="20"/>
              </w:rPr>
            </w:pPr>
            <w:r w:rsidRPr="00BF1502">
              <w:rPr>
                <w:sz w:val="20"/>
                <w:szCs w:val="20"/>
              </w:rPr>
              <w:t>2002</w:t>
            </w:r>
          </w:p>
        </w:tc>
        <w:tc>
          <w:tcPr>
            <w:tcW w:w="1203" w:type="dxa"/>
            <w:tcBorders>
              <w:top w:val="nil"/>
              <w:left w:val="nil"/>
              <w:bottom w:val="nil"/>
              <w:right w:val="nil"/>
            </w:tcBorders>
            <w:noWrap/>
            <w:vAlign w:val="center"/>
          </w:tcPr>
          <w:p w:rsidR="0068108F" w:rsidRPr="00BF1502" w:rsidRDefault="0068108F" w:rsidP="009B33BD">
            <w:pPr>
              <w:spacing w:line="240" w:lineRule="auto"/>
              <w:jc w:val="right"/>
              <w:rPr>
                <w:sz w:val="20"/>
                <w:szCs w:val="20"/>
              </w:rPr>
            </w:pPr>
            <w:r w:rsidRPr="00BF1502">
              <w:rPr>
                <w:sz w:val="20"/>
                <w:szCs w:val="20"/>
              </w:rPr>
              <w:t>10.917</w:t>
            </w:r>
          </w:p>
        </w:tc>
        <w:tc>
          <w:tcPr>
            <w:tcW w:w="1523" w:type="dxa"/>
            <w:tcBorders>
              <w:top w:val="nil"/>
              <w:left w:val="nil"/>
              <w:bottom w:val="nil"/>
              <w:right w:val="nil"/>
            </w:tcBorders>
            <w:noWrap/>
            <w:vAlign w:val="center"/>
          </w:tcPr>
          <w:p w:rsidR="0068108F" w:rsidRPr="00BF1502" w:rsidRDefault="0068108F" w:rsidP="009B33BD">
            <w:pPr>
              <w:spacing w:line="240" w:lineRule="auto"/>
              <w:jc w:val="right"/>
              <w:rPr>
                <w:sz w:val="20"/>
                <w:szCs w:val="20"/>
              </w:rPr>
            </w:pPr>
            <w:r w:rsidRPr="00BF1502">
              <w:rPr>
                <w:sz w:val="20"/>
                <w:szCs w:val="20"/>
              </w:rPr>
              <w:t>75.991</w:t>
            </w:r>
          </w:p>
        </w:tc>
        <w:tc>
          <w:tcPr>
            <w:tcW w:w="1996" w:type="dxa"/>
            <w:tcBorders>
              <w:top w:val="nil"/>
              <w:left w:val="nil"/>
              <w:bottom w:val="nil"/>
              <w:right w:val="nil"/>
            </w:tcBorders>
            <w:noWrap/>
            <w:vAlign w:val="center"/>
          </w:tcPr>
          <w:p w:rsidR="0068108F" w:rsidRPr="00BF1502" w:rsidRDefault="0068108F" w:rsidP="004E3CDE">
            <w:pPr>
              <w:spacing w:line="240" w:lineRule="auto"/>
              <w:jc w:val="right"/>
              <w:rPr>
                <w:sz w:val="20"/>
                <w:szCs w:val="20"/>
              </w:rPr>
            </w:pPr>
            <w:r>
              <w:rPr>
                <w:sz w:val="20"/>
                <w:szCs w:val="20"/>
              </w:rPr>
              <w:t>-</w:t>
            </w:r>
          </w:p>
        </w:tc>
        <w:tc>
          <w:tcPr>
            <w:tcW w:w="2001" w:type="dxa"/>
            <w:tcBorders>
              <w:top w:val="nil"/>
              <w:left w:val="nil"/>
              <w:bottom w:val="nil"/>
              <w:right w:val="nil"/>
            </w:tcBorders>
            <w:vAlign w:val="center"/>
          </w:tcPr>
          <w:p w:rsidR="0068108F" w:rsidRPr="00BF1502" w:rsidRDefault="0068108F" w:rsidP="0021648F">
            <w:pPr>
              <w:spacing w:line="240" w:lineRule="auto"/>
              <w:jc w:val="right"/>
              <w:rPr>
                <w:sz w:val="20"/>
                <w:szCs w:val="20"/>
              </w:rPr>
            </w:pPr>
            <w:r>
              <w:rPr>
                <w:sz w:val="20"/>
                <w:szCs w:val="20"/>
              </w:rPr>
              <w:t>-</w:t>
            </w:r>
          </w:p>
        </w:tc>
      </w:tr>
      <w:tr w:rsidR="0068108F" w:rsidRPr="00BF1502" w:rsidTr="009A7E06">
        <w:trPr>
          <w:trHeight w:val="300"/>
          <w:jc w:val="center"/>
        </w:trPr>
        <w:tc>
          <w:tcPr>
            <w:tcW w:w="731" w:type="dxa"/>
            <w:tcBorders>
              <w:top w:val="nil"/>
              <w:left w:val="nil"/>
              <w:bottom w:val="nil"/>
            </w:tcBorders>
            <w:noWrap/>
            <w:vAlign w:val="center"/>
          </w:tcPr>
          <w:p w:rsidR="0068108F" w:rsidRPr="00BF1502" w:rsidRDefault="0068108F" w:rsidP="009B33BD">
            <w:pPr>
              <w:spacing w:line="240" w:lineRule="auto"/>
              <w:jc w:val="right"/>
              <w:rPr>
                <w:sz w:val="20"/>
                <w:szCs w:val="20"/>
              </w:rPr>
            </w:pPr>
            <w:r w:rsidRPr="00BF1502">
              <w:rPr>
                <w:sz w:val="20"/>
                <w:szCs w:val="20"/>
              </w:rPr>
              <w:t>2003</w:t>
            </w:r>
          </w:p>
        </w:tc>
        <w:tc>
          <w:tcPr>
            <w:tcW w:w="1203" w:type="dxa"/>
            <w:tcBorders>
              <w:top w:val="nil"/>
              <w:left w:val="nil"/>
              <w:bottom w:val="nil"/>
              <w:right w:val="nil"/>
            </w:tcBorders>
            <w:noWrap/>
            <w:vAlign w:val="center"/>
          </w:tcPr>
          <w:p w:rsidR="0068108F" w:rsidRPr="00BF1502" w:rsidRDefault="0068108F" w:rsidP="009B33BD">
            <w:pPr>
              <w:spacing w:line="240" w:lineRule="auto"/>
              <w:jc w:val="right"/>
              <w:rPr>
                <w:sz w:val="20"/>
                <w:szCs w:val="20"/>
              </w:rPr>
            </w:pPr>
            <w:r w:rsidRPr="00BF1502">
              <w:rPr>
                <w:sz w:val="20"/>
                <w:szCs w:val="20"/>
              </w:rPr>
              <w:t>15.565</w:t>
            </w:r>
          </w:p>
        </w:tc>
        <w:tc>
          <w:tcPr>
            <w:tcW w:w="1523" w:type="dxa"/>
            <w:tcBorders>
              <w:top w:val="nil"/>
              <w:left w:val="nil"/>
              <w:bottom w:val="nil"/>
              <w:right w:val="nil"/>
            </w:tcBorders>
            <w:noWrap/>
            <w:vAlign w:val="center"/>
          </w:tcPr>
          <w:p w:rsidR="0068108F" w:rsidRPr="00BF1502" w:rsidRDefault="0068108F" w:rsidP="009B33BD">
            <w:pPr>
              <w:spacing w:line="240" w:lineRule="auto"/>
              <w:jc w:val="right"/>
              <w:rPr>
                <w:sz w:val="20"/>
                <w:szCs w:val="20"/>
              </w:rPr>
            </w:pPr>
            <w:r w:rsidRPr="00BF1502">
              <w:rPr>
                <w:sz w:val="20"/>
                <w:szCs w:val="20"/>
              </w:rPr>
              <w:t>91.556</w:t>
            </w:r>
          </w:p>
        </w:tc>
        <w:tc>
          <w:tcPr>
            <w:tcW w:w="1996" w:type="dxa"/>
            <w:tcBorders>
              <w:top w:val="nil"/>
              <w:left w:val="nil"/>
              <w:bottom w:val="nil"/>
              <w:right w:val="nil"/>
            </w:tcBorders>
            <w:noWrap/>
            <w:vAlign w:val="center"/>
          </w:tcPr>
          <w:p w:rsidR="0068108F" w:rsidRPr="00BF1502" w:rsidRDefault="0068108F" w:rsidP="004E3CDE">
            <w:pPr>
              <w:spacing w:line="240" w:lineRule="auto"/>
              <w:jc w:val="right"/>
              <w:rPr>
                <w:sz w:val="20"/>
                <w:szCs w:val="20"/>
              </w:rPr>
            </w:pPr>
            <w:r>
              <w:rPr>
                <w:sz w:val="20"/>
                <w:szCs w:val="20"/>
              </w:rPr>
              <w:t>-</w:t>
            </w:r>
          </w:p>
        </w:tc>
        <w:tc>
          <w:tcPr>
            <w:tcW w:w="2001" w:type="dxa"/>
            <w:tcBorders>
              <w:top w:val="nil"/>
              <w:left w:val="nil"/>
              <w:bottom w:val="nil"/>
              <w:right w:val="nil"/>
            </w:tcBorders>
            <w:vAlign w:val="center"/>
          </w:tcPr>
          <w:p w:rsidR="0068108F" w:rsidRPr="00BF1502" w:rsidRDefault="0068108F" w:rsidP="0021648F">
            <w:pPr>
              <w:spacing w:line="240" w:lineRule="auto"/>
              <w:jc w:val="right"/>
              <w:rPr>
                <w:sz w:val="20"/>
                <w:szCs w:val="20"/>
              </w:rPr>
            </w:pPr>
            <w:r>
              <w:rPr>
                <w:sz w:val="20"/>
                <w:szCs w:val="20"/>
              </w:rPr>
              <w:t>-</w:t>
            </w:r>
          </w:p>
        </w:tc>
      </w:tr>
      <w:tr w:rsidR="0068108F" w:rsidRPr="00BF1502" w:rsidTr="009A7E06">
        <w:trPr>
          <w:trHeight w:val="300"/>
          <w:jc w:val="center"/>
        </w:trPr>
        <w:tc>
          <w:tcPr>
            <w:tcW w:w="731" w:type="dxa"/>
            <w:tcBorders>
              <w:top w:val="nil"/>
              <w:left w:val="nil"/>
              <w:bottom w:val="nil"/>
            </w:tcBorders>
            <w:noWrap/>
            <w:vAlign w:val="center"/>
          </w:tcPr>
          <w:p w:rsidR="0068108F" w:rsidRPr="00BF1502" w:rsidRDefault="0068108F" w:rsidP="009B33BD">
            <w:pPr>
              <w:spacing w:line="240" w:lineRule="auto"/>
              <w:jc w:val="right"/>
              <w:rPr>
                <w:sz w:val="20"/>
                <w:szCs w:val="20"/>
              </w:rPr>
            </w:pPr>
            <w:r w:rsidRPr="00BF1502">
              <w:rPr>
                <w:sz w:val="20"/>
                <w:szCs w:val="20"/>
              </w:rPr>
              <w:t>2004</w:t>
            </w:r>
          </w:p>
        </w:tc>
        <w:tc>
          <w:tcPr>
            <w:tcW w:w="1203" w:type="dxa"/>
            <w:tcBorders>
              <w:top w:val="nil"/>
              <w:left w:val="nil"/>
              <w:bottom w:val="nil"/>
              <w:right w:val="nil"/>
            </w:tcBorders>
            <w:noWrap/>
            <w:vAlign w:val="center"/>
          </w:tcPr>
          <w:p w:rsidR="0068108F" w:rsidRPr="00BF1502" w:rsidRDefault="0068108F" w:rsidP="009B33BD">
            <w:pPr>
              <w:spacing w:line="240" w:lineRule="auto"/>
              <w:jc w:val="right"/>
              <w:rPr>
                <w:sz w:val="20"/>
                <w:szCs w:val="20"/>
              </w:rPr>
            </w:pPr>
            <w:r w:rsidRPr="00BF1502">
              <w:rPr>
                <w:sz w:val="20"/>
                <w:szCs w:val="20"/>
              </w:rPr>
              <w:t>6.407</w:t>
            </w:r>
          </w:p>
        </w:tc>
        <w:tc>
          <w:tcPr>
            <w:tcW w:w="1523" w:type="dxa"/>
            <w:tcBorders>
              <w:top w:val="nil"/>
              <w:left w:val="nil"/>
              <w:bottom w:val="nil"/>
              <w:right w:val="nil"/>
            </w:tcBorders>
            <w:noWrap/>
            <w:vAlign w:val="center"/>
          </w:tcPr>
          <w:p w:rsidR="0068108F" w:rsidRPr="00BF1502" w:rsidRDefault="0068108F" w:rsidP="009B33BD">
            <w:pPr>
              <w:spacing w:line="240" w:lineRule="auto"/>
              <w:jc w:val="right"/>
              <w:rPr>
                <w:sz w:val="20"/>
                <w:szCs w:val="20"/>
              </w:rPr>
            </w:pPr>
            <w:r w:rsidRPr="00BF1502">
              <w:rPr>
                <w:sz w:val="20"/>
                <w:szCs w:val="20"/>
              </w:rPr>
              <w:t>97.963</w:t>
            </w:r>
          </w:p>
        </w:tc>
        <w:tc>
          <w:tcPr>
            <w:tcW w:w="1996" w:type="dxa"/>
            <w:tcBorders>
              <w:top w:val="nil"/>
              <w:left w:val="nil"/>
              <w:bottom w:val="nil"/>
              <w:right w:val="nil"/>
            </w:tcBorders>
            <w:noWrap/>
            <w:vAlign w:val="center"/>
          </w:tcPr>
          <w:p w:rsidR="0068108F" w:rsidRPr="00BF1502" w:rsidRDefault="0068108F" w:rsidP="004E3CDE">
            <w:pPr>
              <w:spacing w:line="240" w:lineRule="auto"/>
              <w:jc w:val="right"/>
              <w:rPr>
                <w:sz w:val="20"/>
                <w:szCs w:val="20"/>
              </w:rPr>
            </w:pPr>
            <w:r>
              <w:rPr>
                <w:sz w:val="20"/>
                <w:szCs w:val="20"/>
              </w:rPr>
              <w:t>-</w:t>
            </w:r>
          </w:p>
        </w:tc>
        <w:tc>
          <w:tcPr>
            <w:tcW w:w="2001" w:type="dxa"/>
            <w:tcBorders>
              <w:top w:val="nil"/>
              <w:left w:val="nil"/>
              <w:bottom w:val="nil"/>
              <w:right w:val="nil"/>
            </w:tcBorders>
            <w:vAlign w:val="center"/>
          </w:tcPr>
          <w:p w:rsidR="0068108F" w:rsidRPr="00BF1502" w:rsidRDefault="0068108F" w:rsidP="0021648F">
            <w:pPr>
              <w:spacing w:line="240" w:lineRule="auto"/>
              <w:jc w:val="right"/>
              <w:rPr>
                <w:sz w:val="20"/>
                <w:szCs w:val="20"/>
              </w:rPr>
            </w:pPr>
            <w:r>
              <w:rPr>
                <w:sz w:val="20"/>
                <w:szCs w:val="20"/>
              </w:rPr>
              <w:t>-</w:t>
            </w:r>
          </w:p>
        </w:tc>
      </w:tr>
      <w:tr w:rsidR="0068108F" w:rsidRPr="00BF1502" w:rsidTr="009A7E06">
        <w:trPr>
          <w:trHeight w:val="300"/>
          <w:jc w:val="center"/>
        </w:trPr>
        <w:tc>
          <w:tcPr>
            <w:tcW w:w="731" w:type="dxa"/>
            <w:tcBorders>
              <w:top w:val="nil"/>
              <w:left w:val="nil"/>
              <w:bottom w:val="nil"/>
            </w:tcBorders>
            <w:noWrap/>
            <w:vAlign w:val="center"/>
          </w:tcPr>
          <w:p w:rsidR="0068108F" w:rsidRPr="00BF1502" w:rsidRDefault="0068108F" w:rsidP="009B33BD">
            <w:pPr>
              <w:spacing w:line="240" w:lineRule="auto"/>
              <w:jc w:val="right"/>
              <w:rPr>
                <w:sz w:val="20"/>
                <w:szCs w:val="20"/>
              </w:rPr>
            </w:pPr>
            <w:r w:rsidRPr="00BF1502">
              <w:rPr>
                <w:sz w:val="20"/>
                <w:szCs w:val="20"/>
              </w:rPr>
              <w:t>2005</w:t>
            </w:r>
          </w:p>
        </w:tc>
        <w:tc>
          <w:tcPr>
            <w:tcW w:w="1203" w:type="dxa"/>
            <w:tcBorders>
              <w:top w:val="nil"/>
              <w:left w:val="nil"/>
              <w:bottom w:val="nil"/>
              <w:right w:val="nil"/>
            </w:tcBorders>
            <w:noWrap/>
            <w:vAlign w:val="center"/>
          </w:tcPr>
          <w:p w:rsidR="0068108F" w:rsidRPr="00BF1502" w:rsidRDefault="0068108F" w:rsidP="009B33BD">
            <w:pPr>
              <w:spacing w:line="240" w:lineRule="auto"/>
              <w:jc w:val="right"/>
              <w:rPr>
                <w:sz w:val="20"/>
                <w:szCs w:val="20"/>
              </w:rPr>
            </w:pPr>
            <w:r w:rsidRPr="00BF1502">
              <w:rPr>
                <w:sz w:val="20"/>
                <w:szCs w:val="20"/>
              </w:rPr>
              <w:t>16.439</w:t>
            </w:r>
          </w:p>
        </w:tc>
        <w:tc>
          <w:tcPr>
            <w:tcW w:w="1523" w:type="dxa"/>
            <w:tcBorders>
              <w:top w:val="nil"/>
              <w:left w:val="nil"/>
              <w:bottom w:val="nil"/>
              <w:right w:val="nil"/>
            </w:tcBorders>
            <w:noWrap/>
            <w:vAlign w:val="center"/>
          </w:tcPr>
          <w:p w:rsidR="0068108F" w:rsidRPr="00BF1502" w:rsidRDefault="0068108F" w:rsidP="009B33BD">
            <w:pPr>
              <w:spacing w:line="240" w:lineRule="auto"/>
              <w:jc w:val="right"/>
              <w:rPr>
                <w:sz w:val="20"/>
                <w:szCs w:val="20"/>
              </w:rPr>
            </w:pPr>
            <w:r w:rsidRPr="00BF1502">
              <w:rPr>
                <w:sz w:val="20"/>
                <w:szCs w:val="20"/>
              </w:rPr>
              <w:t>114.402</w:t>
            </w:r>
          </w:p>
        </w:tc>
        <w:tc>
          <w:tcPr>
            <w:tcW w:w="1996" w:type="dxa"/>
            <w:tcBorders>
              <w:top w:val="nil"/>
              <w:left w:val="nil"/>
              <w:bottom w:val="nil"/>
              <w:right w:val="nil"/>
            </w:tcBorders>
            <w:noWrap/>
            <w:vAlign w:val="center"/>
          </w:tcPr>
          <w:p w:rsidR="0068108F" w:rsidRPr="00BF1502" w:rsidRDefault="0068108F" w:rsidP="004E3CDE">
            <w:pPr>
              <w:spacing w:line="240" w:lineRule="auto"/>
              <w:jc w:val="right"/>
              <w:rPr>
                <w:sz w:val="20"/>
                <w:szCs w:val="20"/>
              </w:rPr>
            </w:pPr>
            <w:r>
              <w:rPr>
                <w:sz w:val="20"/>
                <w:szCs w:val="20"/>
              </w:rPr>
              <w:t>-</w:t>
            </w:r>
          </w:p>
        </w:tc>
        <w:tc>
          <w:tcPr>
            <w:tcW w:w="2001" w:type="dxa"/>
            <w:tcBorders>
              <w:top w:val="nil"/>
              <w:left w:val="nil"/>
              <w:bottom w:val="nil"/>
              <w:right w:val="nil"/>
            </w:tcBorders>
            <w:vAlign w:val="center"/>
          </w:tcPr>
          <w:p w:rsidR="0068108F" w:rsidRPr="00BF1502" w:rsidRDefault="0068108F" w:rsidP="0021648F">
            <w:pPr>
              <w:spacing w:line="240" w:lineRule="auto"/>
              <w:jc w:val="right"/>
              <w:rPr>
                <w:sz w:val="20"/>
                <w:szCs w:val="20"/>
              </w:rPr>
            </w:pPr>
            <w:r>
              <w:rPr>
                <w:sz w:val="20"/>
                <w:szCs w:val="20"/>
              </w:rPr>
              <w:t>-</w:t>
            </w:r>
          </w:p>
        </w:tc>
      </w:tr>
      <w:tr w:rsidR="0068108F" w:rsidRPr="00BF1502" w:rsidTr="009A7E06">
        <w:trPr>
          <w:trHeight w:val="300"/>
          <w:jc w:val="center"/>
        </w:trPr>
        <w:tc>
          <w:tcPr>
            <w:tcW w:w="731" w:type="dxa"/>
            <w:tcBorders>
              <w:top w:val="nil"/>
              <w:left w:val="nil"/>
              <w:bottom w:val="nil"/>
            </w:tcBorders>
            <w:noWrap/>
            <w:vAlign w:val="center"/>
          </w:tcPr>
          <w:p w:rsidR="0068108F" w:rsidRPr="00BF1502" w:rsidRDefault="0068108F" w:rsidP="009B33BD">
            <w:pPr>
              <w:spacing w:line="240" w:lineRule="auto"/>
              <w:jc w:val="right"/>
              <w:rPr>
                <w:sz w:val="20"/>
                <w:szCs w:val="20"/>
              </w:rPr>
            </w:pPr>
            <w:r w:rsidRPr="00BF1502">
              <w:rPr>
                <w:sz w:val="20"/>
                <w:szCs w:val="20"/>
              </w:rPr>
              <w:t>2006</w:t>
            </w:r>
          </w:p>
        </w:tc>
        <w:tc>
          <w:tcPr>
            <w:tcW w:w="1203" w:type="dxa"/>
            <w:tcBorders>
              <w:top w:val="nil"/>
              <w:left w:val="nil"/>
              <w:bottom w:val="nil"/>
              <w:right w:val="nil"/>
            </w:tcBorders>
            <w:noWrap/>
            <w:vAlign w:val="center"/>
          </w:tcPr>
          <w:p w:rsidR="0068108F" w:rsidRPr="00BF1502" w:rsidRDefault="0068108F" w:rsidP="009B33BD">
            <w:pPr>
              <w:spacing w:line="240" w:lineRule="auto"/>
              <w:jc w:val="right"/>
              <w:rPr>
                <w:sz w:val="20"/>
                <w:szCs w:val="20"/>
              </w:rPr>
            </w:pPr>
            <w:r w:rsidRPr="00BF1502">
              <w:rPr>
                <w:sz w:val="20"/>
                <w:szCs w:val="20"/>
              </w:rPr>
              <w:t>11.819</w:t>
            </w:r>
          </w:p>
        </w:tc>
        <w:tc>
          <w:tcPr>
            <w:tcW w:w="1523" w:type="dxa"/>
            <w:tcBorders>
              <w:top w:val="nil"/>
              <w:left w:val="nil"/>
              <w:bottom w:val="nil"/>
              <w:right w:val="nil"/>
            </w:tcBorders>
            <w:noWrap/>
            <w:vAlign w:val="center"/>
          </w:tcPr>
          <w:p w:rsidR="0068108F" w:rsidRPr="00BF1502" w:rsidRDefault="0068108F" w:rsidP="009B33BD">
            <w:pPr>
              <w:spacing w:line="240" w:lineRule="auto"/>
              <w:jc w:val="right"/>
              <w:rPr>
                <w:sz w:val="20"/>
                <w:szCs w:val="20"/>
              </w:rPr>
            </w:pPr>
            <w:r w:rsidRPr="00BF1502">
              <w:rPr>
                <w:sz w:val="20"/>
                <w:szCs w:val="20"/>
              </w:rPr>
              <w:t>126.221</w:t>
            </w:r>
          </w:p>
        </w:tc>
        <w:tc>
          <w:tcPr>
            <w:tcW w:w="1996" w:type="dxa"/>
            <w:tcBorders>
              <w:top w:val="nil"/>
              <w:left w:val="nil"/>
              <w:bottom w:val="nil"/>
              <w:right w:val="nil"/>
            </w:tcBorders>
            <w:noWrap/>
            <w:vAlign w:val="center"/>
          </w:tcPr>
          <w:p w:rsidR="0068108F" w:rsidRPr="00BF1502" w:rsidRDefault="0068108F" w:rsidP="004E3CDE">
            <w:pPr>
              <w:spacing w:line="240" w:lineRule="auto"/>
              <w:jc w:val="right"/>
              <w:rPr>
                <w:sz w:val="20"/>
                <w:szCs w:val="20"/>
              </w:rPr>
            </w:pPr>
            <w:r>
              <w:rPr>
                <w:sz w:val="20"/>
                <w:szCs w:val="20"/>
              </w:rPr>
              <w:t>-</w:t>
            </w:r>
          </w:p>
        </w:tc>
        <w:tc>
          <w:tcPr>
            <w:tcW w:w="2001" w:type="dxa"/>
            <w:tcBorders>
              <w:top w:val="nil"/>
              <w:left w:val="nil"/>
              <w:bottom w:val="nil"/>
              <w:right w:val="nil"/>
            </w:tcBorders>
            <w:vAlign w:val="center"/>
          </w:tcPr>
          <w:p w:rsidR="0068108F" w:rsidRPr="00BF1502" w:rsidRDefault="0068108F" w:rsidP="0021648F">
            <w:pPr>
              <w:spacing w:line="240" w:lineRule="auto"/>
              <w:jc w:val="right"/>
              <w:rPr>
                <w:sz w:val="20"/>
                <w:szCs w:val="20"/>
              </w:rPr>
            </w:pPr>
            <w:r>
              <w:rPr>
                <w:sz w:val="20"/>
                <w:szCs w:val="20"/>
              </w:rPr>
              <w:t>-</w:t>
            </w:r>
          </w:p>
        </w:tc>
      </w:tr>
      <w:tr w:rsidR="0068108F" w:rsidRPr="00BF1502" w:rsidTr="009A7E06">
        <w:trPr>
          <w:trHeight w:val="300"/>
          <w:jc w:val="center"/>
        </w:trPr>
        <w:tc>
          <w:tcPr>
            <w:tcW w:w="731" w:type="dxa"/>
            <w:tcBorders>
              <w:top w:val="nil"/>
              <w:left w:val="nil"/>
            </w:tcBorders>
            <w:noWrap/>
            <w:vAlign w:val="center"/>
          </w:tcPr>
          <w:p w:rsidR="0068108F" w:rsidRPr="00BF1502" w:rsidRDefault="0068108F" w:rsidP="009B33BD">
            <w:pPr>
              <w:spacing w:line="240" w:lineRule="auto"/>
              <w:jc w:val="right"/>
              <w:rPr>
                <w:sz w:val="20"/>
                <w:szCs w:val="20"/>
              </w:rPr>
            </w:pPr>
            <w:r w:rsidRPr="00BF1502">
              <w:rPr>
                <w:sz w:val="20"/>
                <w:szCs w:val="20"/>
              </w:rPr>
              <w:t>2007</w:t>
            </w:r>
          </w:p>
        </w:tc>
        <w:tc>
          <w:tcPr>
            <w:tcW w:w="1203" w:type="dxa"/>
            <w:tcBorders>
              <w:top w:val="nil"/>
              <w:left w:val="nil"/>
              <w:right w:val="nil"/>
            </w:tcBorders>
            <w:noWrap/>
            <w:vAlign w:val="center"/>
          </w:tcPr>
          <w:p w:rsidR="0068108F" w:rsidRPr="00BF1502" w:rsidRDefault="0068108F" w:rsidP="009B33BD">
            <w:pPr>
              <w:spacing w:line="240" w:lineRule="auto"/>
              <w:jc w:val="right"/>
              <w:rPr>
                <w:sz w:val="20"/>
                <w:szCs w:val="20"/>
              </w:rPr>
            </w:pPr>
            <w:r w:rsidRPr="00BF1502">
              <w:rPr>
                <w:sz w:val="20"/>
                <w:szCs w:val="20"/>
              </w:rPr>
              <w:t>22.681</w:t>
            </w:r>
          </w:p>
        </w:tc>
        <w:tc>
          <w:tcPr>
            <w:tcW w:w="1523" w:type="dxa"/>
            <w:tcBorders>
              <w:top w:val="nil"/>
              <w:left w:val="nil"/>
              <w:right w:val="nil"/>
            </w:tcBorders>
            <w:noWrap/>
            <w:vAlign w:val="center"/>
          </w:tcPr>
          <w:p w:rsidR="0068108F" w:rsidRPr="00BF1502" w:rsidRDefault="0068108F" w:rsidP="009B33BD">
            <w:pPr>
              <w:spacing w:line="240" w:lineRule="auto"/>
              <w:jc w:val="right"/>
              <w:rPr>
                <w:sz w:val="20"/>
                <w:szCs w:val="20"/>
              </w:rPr>
            </w:pPr>
            <w:r w:rsidRPr="00BF1502">
              <w:rPr>
                <w:sz w:val="20"/>
                <w:szCs w:val="20"/>
              </w:rPr>
              <w:t>148.902</w:t>
            </w:r>
          </w:p>
        </w:tc>
        <w:tc>
          <w:tcPr>
            <w:tcW w:w="1996" w:type="dxa"/>
            <w:tcBorders>
              <w:top w:val="nil"/>
              <w:left w:val="nil"/>
              <w:right w:val="nil"/>
            </w:tcBorders>
            <w:noWrap/>
            <w:vAlign w:val="center"/>
          </w:tcPr>
          <w:p w:rsidR="0068108F" w:rsidRPr="00BF1502" w:rsidRDefault="0068108F" w:rsidP="004E3CDE">
            <w:pPr>
              <w:spacing w:line="240" w:lineRule="auto"/>
              <w:jc w:val="right"/>
              <w:rPr>
                <w:sz w:val="20"/>
                <w:szCs w:val="20"/>
              </w:rPr>
            </w:pPr>
            <w:r>
              <w:rPr>
                <w:sz w:val="20"/>
                <w:szCs w:val="20"/>
              </w:rPr>
              <w:t>-</w:t>
            </w:r>
          </w:p>
        </w:tc>
        <w:tc>
          <w:tcPr>
            <w:tcW w:w="2001" w:type="dxa"/>
            <w:tcBorders>
              <w:top w:val="nil"/>
              <w:left w:val="nil"/>
              <w:right w:val="nil"/>
            </w:tcBorders>
            <w:vAlign w:val="center"/>
          </w:tcPr>
          <w:p w:rsidR="0068108F" w:rsidRPr="00BF1502" w:rsidRDefault="0068108F" w:rsidP="0021648F">
            <w:pPr>
              <w:spacing w:line="240" w:lineRule="auto"/>
              <w:jc w:val="right"/>
              <w:rPr>
                <w:sz w:val="20"/>
                <w:szCs w:val="20"/>
              </w:rPr>
            </w:pPr>
            <w:r>
              <w:rPr>
                <w:sz w:val="20"/>
                <w:szCs w:val="20"/>
              </w:rPr>
              <w:t>-</w:t>
            </w:r>
          </w:p>
        </w:tc>
      </w:tr>
      <w:tr w:rsidR="0068108F" w:rsidRPr="00BF1502" w:rsidTr="009A7E06">
        <w:trPr>
          <w:trHeight w:val="300"/>
          <w:jc w:val="center"/>
        </w:trPr>
        <w:tc>
          <w:tcPr>
            <w:tcW w:w="731" w:type="dxa"/>
            <w:tcBorders>
              <w:top w:val="nil"/>
              <w:left w:val="nil"/>
              <w:bottom w:val="nil"/>
            </w:tcBorders>
            <w:noWrap/>
            <w:vAlign w:val="center"/>
          </w:tcPr>
          <w:p w:rsidR="0068108F" w:rsidRPr="00BF1502" w:rsidRDefault="0068108F" w:rsidP="009B33BD">
            <w:pPr>
              <w:spacing w:line="240" w:lineRule="auto"/>
              <w:jc w:val="right"/>
              <w:rPr>
                <w:sz w:val="20"/>
                <w:szCs w:val="20"/>
              </w:rPr>
            </w:pPr>
            <w:r w:rsidRPr="00BF1502">
              <w:rPr>
                <w:sz w:val="20"/>
                <w:szCs w:val="20"/>
              </w:rPr>
              <w:t>2008</w:t>
            </w:r>
          </w:p>
        </w:tc>
        <w:tc>
          <w:tcPr>
            <w:tcW w:w="1203" w:type="dxa"/>
            <w:tcBorders>
              <w:top w:val="nil"/>
              <w:bottom w:val="nil"/>
            </w:tcBorders>
            <w:noWrap/>
            <w:vAlign w:val="center"/>
          </w:tcPr>
          <w:p w:rsidR="0068108F" w:rsidRPr="00BF1502" w:rsidRDefault="0068108F" w:rsidP="009B33BD">
            <w:pPr>
              <w:spacing w:line="240" w:lineRule="auto"/>
              <w:jc w:val="right"/>
              <w:rPr>
                <w:sz w:val="20"/>
                <w:szCs w:val="20"/>
              </w:rPr>
            </w:pPr>
            <w:r w:rsidRPr="00BF1502">
              <w:rPr>
                <w:sz w:val="20"/>
                <w:szCs w:val="20"/>
              </w:rPr>
              <w:t>9.140</w:t>
            </w:r>
          </w:p>
        </w:tc>
        <w:tc>
          <w:tcPr>
            <w:tcW w:w="1523" w:type="dxa"/>
            <w:tcBorders>
              <w:top w:val="nil"/>
              <w:bottom w:val="nil"/>
            </w:tcBorders>
            <w:noWrap/>
            <w:vAlign w:val="center"/>
          </w:tcPr>
          <w:p w:rsidR="0068108F" w:rsidRPr="00BF1502" w:rsidRDefault="0068108F" w:rsidP="009B33BD">
            <w:pPr>
              <w:spacing w:line="240" w:lineRule="auto"/>
              <w:jc w:val="right"/>
              <w:rPr>
                <w:sz w:val="20"/>
                <w:szCs w:val="20"/>
              </w:rPr>
            </w:pPr>
            <w:r w:rsidRPr="00BF1502">
              <w:rPr>
                <w:sz w:val="20"/>
                <w:szCs w:val="20"/>
              </w:rPr>
              <w:t>158.042</w:t>
            </w:r>
          </w:p>
        </w:tc>
        <w:tc>
          <w:tcPr>
            <w:tcW w:w="1996" w:type="dxa"/>
            <w:tcBorders>
              <w:top w:val="nil"/>
              <w:bottom w:val="nil"/>
              <w:right w:val="nil"/>
            </w:tcBorders>
            <w:noWrap/>
            <w:vAlign w:val="center"/>
          </w:tcPr>
          <w:p w:rsidR="0068108F" w:rsidRPr="00BF1502" w:rsidRDefault="0068108F" w:rsidP="004E3CDE">
            <w:pPr>
              <w:spacing w:line="240" w:lineRule="auto"/>
              <w:jc w:val="right"/>
              <w:rPr>
                <w:sz w:val="20"/>
                <w:szCs w:val="20"/>
              </w:rPr>
            </w:pPr>
            <w:r>
              <w:rPr>
                <w:sz w:val="20"/>
                <w:szCs w:val="20"/>
              </w:rPr>
              <w:t>-</w:t>
            </w:r>
          </w:p>
        </w:tc>
        <w:tc>
          <w:tcPr>
            <w:tcW w:w="2001" w:type="dxa"/>
            <w:tcBorders>
              <w:top w:val="nil"/>
              <w:bottom w:val="nil"/>
              <w:right w:val="nil"/>
            </w:tcBorders>
            <w:vAlign w:val="center"/>
          </w:tcPr>
          <w:p w:rsidR="0068108F" w:rsidRPr="00BF1502" w:rsidRDefault="0068108F" w:rsidP="0021648F">
            <w:pPr>
              <w:spacing w:line="240" w:lineRule="auto"/>
              <w:jc w:val="right"/>
              <w:rPr>
                <w:sz w:val="20"/>
                <w:szCs w:val="20"/>
              </w:rPr>
            </w:pPr>
            <w:r>
              <w:rPr>
                <w:sz w:val="20"/>
                <w:szCs w:val="20"/>
              </w:rPr>
              <w:t>-</w:t>
            </w:r>
          </w:p>
        </w:tc>
      </w:tr>
      <w:tr w:rsidR="0068108F" w:rsidRPr="00BF1502" w:rsidTr="009A7E06">
        <w:trPr>
          <w:trHeight w:val="300"/>
          <w:jc w:val="center"/>
        </w:trPr>
        <w:tc>
          <w:tcPr>
            <w:tcW w:w="731" w:type="dxa"/>
            <w:tcBorders>
              <w:top w:val="nil"/>
              <w:left w:val="nil"/>
              <w:bottom w:val="nil"/>
            </w:tcBorders>
            <w:noWrap/>
            <w:vAlign w:val="center"/>
          </w:tcPr>
          <w:p w:rsidR="0068108F" w:rsidRPr="00BF1502" w:rsidRDefault="0068108F" w:rsidP="009B33BD">
            <w:pPr>
              <w:spacing w:line="240" w:lineRule="auto"/>
              <w:jc w:val="right"/>
              <w:rPr>
                <w:sz w:val="20"/>
                <w:szCs w:val="20"/>
              </w:rPr>
            </w:pPr>
            <w:r w:rsidRPr="00BF1502">
              <w:rPr>
                <w:sz w:val="20"/>
                <w:szCs w:val="20"/>
              </w:rPr>
              <w:t>2009</w:t>
            </w:r>
          </w:p>
        </w:tc>
        <w:tc>
          <w:tcPr>
            <w:tcW w:w="1203" w:type="dxa"/>
            <w:tcBorders>
              <w:top w:val="nil"/>
              <w:bottom w:val="nil"/>
            </w:tcBorders>
            <w:noWrap/>
            <w:vAlign w:val="center"/>
          </w:tcPr>
          <w:p w:rsidR="0068108F" w:rsidRPr="00BF1502" w:rsidRDefault="0068108F" w:rsidP="009B33BD">
            <w:pPr>
              <w:spacing w:line="240" w:lineRule="auto"/>
              <w:jc w:val="right"/>
              <w:rPr>
                <w:sz w:val="20"/>
                <w:szCs w:val="20"/>
              </w:rPr>
            </w:pPr>
            <w:r w:rsidRPr="00BF1502">
              <w:rPr>
                <w:sz w:val="20"/>
                <w:szCs w:val="20"/>
              </w:rPr>
              <w:t>13.046</w:t>
            </w:r>
          </w:p>
        </w:tc>
        <w:tc>
          <w:tcPr>
            <w:tcW w:w="1523" w:type="dxa"/>
            <w:tcBorders>
              <w:top w:val="nil"/>
              <w:bottom w:val="nil"/>
            </w:tcBorders>
            <w:noWrap/>
            <w:vAlign w:val="center"/>
          </w:tcPr>
          <w:p w:rsidR="0068108F" w:rsidRPr="00BF1502" w:rsidRDefault="0068108F" w:rsidP="009B33BD">
            <w:pPr>
              <w:spacing w:line="240" w:lineRule="auto"/>
              <w:jc w:val="right"/>
              <w:rPr>
                <w:sz w:val="20"/>
                <w:szCs w:val="20"/>
              </w:rPr>
            </w:pPr>
            <w:r w:rsidRPr="00BF1502">
              <w:rPr>
                <w:sz w:val="20"/>
                <w:szCs w:val="20"/>
              </w:rPr>
              <w:t>171.088</w:t>
            </w:r>
          </w:p>
        </w:tc>
        <w:tc>
          <w:tcPr>
            <w:tcW w:w="1996" w:type="dxa"/>
            <w:tcBorders>
              <w:top w:val="nil"/>
              <w:bottom w:val="nil"/>
              <w:right w:val="nil"/>
            </w:tcBorders>
            <w:noWrap/>
            <w:vAlign w:val="center"/>
          </w:tcPr>
          <w:p w:rsidR="0068108F" w:rsidRPr="00BF1502" w:rsidRDefault="0068108F" w:rsidP="004E3CDE">
            <w:pPr>
              <w:spacing w:line="240" w:lineRule="auto"/>
              <w:jc w:val="right"/>
              <w:rPr>
                <w:sz w:val="20"/>
                <w:szCs w:val="20"/>
              </w:rPr>
            </w:pPr>
            <w:r w:rsidRPr="00BF1502">
              <w:rPr>
                <w:sz w:val="20"/>
                <w:szCs w:val="20"/>
              </w:rPr>
              <w:t>692.907</w:t>
            </w:r>
          </w:p>
        </w:tc>
        <w:tc>
          <w:tcPr>
            <w:tcW w:w="2001" w:type="dxa"/>
            <w:tcBorders>
              <w:top w:val="nil"/>
              <w:bottom w:val="nil"/>
              <w:right w:val="nil"/>
            </w:tcBorders>
            <w:vAlign w:val="center"/>
          </w:tcPr>
          <w:p w:rsidR="0068108F" w:rsidRPr="00BF1502" w:rsidRDefault="0068108F" w:rsidP="004E3CDE">
            <w:pPr>
              <w:spacing w:line="240" w:lineRule="auto"/>
              <w:jc w:val="right"/>
              <w:rPr>
                <w:sz w:val="20"/>
                <w:szCs w:val="20"/>
              </w:rPr>
            </w:pPr>
            <w:r w:rsidRPr="00BF1502">
              <w:rPr>
                <w:sz w:val="20"/>
                <w:szCs w:val="20"/>
              </w:rPr>
              <w:t>24,7%</w:t>
            </w:r>
          </w:p>
        </w:tc>
      </w:tr>
      <w:tr w:rsidR="0068108F" w:rsidRPr="00BF1502" w:rsidTr="009A7E06">
        <w:trPr>
          <w:trHeight w:val="300"/>
          <w:jc w:val="center"/>
        </w:trPr>
        <w:tc>
          <w:tcPr>
            <w:tcW w:w="731" w:type="dxa"/>
            <w:tcBorders>
              <w:top w:val="nil"/>
              <w:left w:val="nil"/>
              <w:bottom w:val="nil"/>
            </w:tcBorders>
            <w:noWrap/>
            <w:vAlign w:val="center"/>
          </w:tcPr>
          <w:p w:rsidR="0068108F" w:rsidRPr="00BF1502" w:rsidRDefault="0068108F" w:rsidP="009B33BD">
            <w:pPr>
              <w:spacing w:line="240" w:lineRule="auto"/>
              <w:jc w:val="right"/>
              <w:rPr>
                <w:sz w:val="20"/>
                <w:szCs w:val="20"/>
              </w:rPr>
            </w:pPr>
            <w:r w:rsidRPr="00BF1502">
              <w:rPr>
                <w:sz w:val="20"/>
                <w:szCs w:val="20"/>
              </w:rPr>
              <w:t>2010</w:t>
            </w:r>
          </w:p>
        </w:tc>
        <w:tc>
          <w:tcPr>
            <w:tcW w:w="1203" w:type="dxa"/>
            <w:tcBorders>
              <w:top w:val="nil"/>
              <w:bottom w:val="nil"/>
            </w:tcBorders>
            <w:noWrap/>
            <w:vAlign w:val="center"/>
          </w:tcPr>
          <w:p w:rsidR="0068108F" w:rsidRPr="00BF1502" w:rsidRDefault="0068108F" w:rsidP="009B33BD">
            <w:pPr>
              <w:spacing w:line="240" w:lineRule="auto"/>
              <w:jc w:val="right"/>
              <w:rPr>
                <w:sz w:val="20"/>
                <w:szCs w:val="20"/>
              </w:rPr>
            </w:pPr>
            <w:r w:rsidRPr="00BF1502">
              <w:rPr>
                <w:sz w:val="20"/>
                <w:szCs w:val="20"/>
              </w:rPr>
              <w:t>11.535</w:t>
            </w:r>
          </w:p>
        </w:tc>
        <w:tc>
          <w:tcPr>
            <w:tcW w:w="1523" w:type="dxa"/>
            <w:tcBorders>
              <w:top w:val="nil"/>
              <w:bottom w:val="nil"/>
            </w:tcBorders>
            <w:noWrap/>
            <w:vAlign w:val="center"/>
          </w:tcPr>
          <w:p w:rsidR="0068108F" w:rsidRPr="00BF1502" w:rsidRDefault="0068108F" w:rsidP="009B33BD">
            <w:pPr>
              <w:spacing w:line="240" w:lineRule="auto"/>
              <w:jc w:val="right"/>
              <w:rPr>
                <w:sz w:val="20"/>
                <w:szCs w:val="20"/>
              </w:rPr>
            </w:pPr>
            <w:r w:rsidRPr="00BF1502">
              <w:rPr>
                <w:sz w:val="20"/>
                <w:szCs w:val="20"/>
              </w:rPr>
              <w:t>182.623</w:t>
            </w:r>
          </w:p>
        </w:tc>
        <w:tc>
          <w:tcPr>
            <w:tcW w:w="1996" w:type="dxa"/>
            <w:tcBorders>
              <w:top w:val="nil"/>
              <w:bottom w:val="nil"/>
              <w:right w:val="nil"/>
            </w:tcBorders>
            <w:noWrap/>
            <w:vAlign w:val="center"/>
          </w:tcPr>
          <w:p w:rsidR="0068108F" w:rsidRPr="00BF1502" w:rsidRDefault="0068108F" w:rsidP="004E3CDE">
            <w:pPr>
              <w:spacing w:line="240" w:lineRule="auto"/>
              <w:jc w:val="right"/>
              <w:rPr>
                <w:sz w:val="20"/>
                <w:szCs w:val="20"/>
              </w:rPr>
            </w:pPr>
            <w:r w:rsidRPr="00BF1502">
              <w:rPr>
                <w:sz w:val="20"/>
                <w:szCs w:val="20"/>
              </w:rPr>
              <w:t>667.374</w:t>
            </w:r>
          </w:p>
        </w:tc>
        <w:tc>
          <w:tcPr>
            <w:tcW w:w="2001" w:type="dxa"/>
            <w:tcBorders>
              <w:top w:val="nil"/>
              <w:bottom w:val="nil"/>
              <w:right w:val="nil"/>
            </w:tcBorders>
            <w:vAlign w:val="center"/>
          </w:tcPr>
          <w:p w:rsidR="0068108F" w:rsidRPr="00BF1502" w:rsidRDefault="0068108F" w:rsidP="004E3CDE">
            <w:pPr>
              <w:spacing w:line="240" w:lineRule="auto"/>
              <w:jc w:val="right"/>
              <w:rPr>
                <w:sz w:val="20"/>
                <w:szCs w:val="20"/>
              </w:rPr>
            </w:pPr>
            <w:r w:rsidRPr="00BF1502">
              <w:rPr>
                <w:sz w:val="20"/>
                <w:szCs w:val="20"/>
              </w:rPr>
              <w:t>27,4%</w:t>
            </w:r>
          </w:p>
        </w:tc>
      </w:tr>
      <w:tr w:rsidR="0068108F" w:rsidRPr="00BF1502" w:rsidTr="009A7E06">
        <w:trPr>
          <w:trHeight w:val="300"/>
          <w:jc w:val="center"/>
        </w:trPr>
        <w:tc>
          <w:tcPr>
            <w:tcW w:w="731" w:type="dxa"/>
            <w:tcBorders>
              <w:top w:val="nil"/>
              <w:left w:val="nil"/>
              <w:bottom w:val="nil"/>
            </w:tcBorders>
            <w:noWrap/>
            <w:vAlign w:val="center"/>
          </w:tcPr>
          <w:p w:rsidR="0068108F" w:rsidRPr="00BF1502" w:rsidRDefault="0068108F" w:rsidP="009B33BD">
            <w:pPr>
              <w:spacing w:line="240" w:lineRule="auto"/>
              <w:jc w:val="right"/>
              <w:rPr>
                <w:sz w:val="20"/>
                <w:szCs w:val="20"/>
              </w:rPr>
            </w:pPr>
            <w:r w:rsidRPr="00BF1502">
              <w:rPr>
                <w:sz w:val="20"/>
                <w:szCs w:val="20"/>
              </w:rPr>
              <w:t>2011</w:t>
            </w:r>
          </w:p>
        </w:tc>
        <w:tc>
          <w:tcPr>
            <w:tcW w:w="1203" w:type="dxa"/>
            <w:tcBorders>
              <w:top w:val="nil"/>
              <w:bottom w:val="nil"/>
            </w:tcBorders>
            <w:noWrap/>
            <w:vAlign w:val="center"/>
          </w:tcPr>
          <w:p w:rsidR="0068108F" w:rsidRPr="00BF1502" w:rsidRDefault="0068108F" w:rsidP="009B33BD">
            <w:pPr>
              <w:spacing w:line="240" w:lineRule="auto"/>
              <w:jc w:val="right"/>
              <w:rPr>
                <w:sz w:val="20"/>
                <w:szCs w:val="20"/>
              </w:rPr>
            </w:pPr>
            <w:r w:rsidRPr="00BF1502">
              <w:rPr>
                <w:sz w:val="20"/>
                <w:szCs w:val="20"/>
              </w:rPr>
              <w:t>4.194</w:t>
            </w:r>
          </w:p>
        </w:tc>
        <w:tc>
          <w:tcPr>
            <w:tcW w:w="1523" w:type="dxa"/>
            <w:tcBorders>
              <w:top w:val="nil"/>
              <w:bottom w:val="nil"/>
            </w:tcBorders>
            <w:noWrap/>
            <w:vAlign w:val="center"/>
          </w:tcPr>
          <w:p w:rsidR="0068108F" w:rsidRPr="00BF1502" w:rsidRDefault="0068108F" w:rsidP="009B33BD">
            <w:pPr>
              <w:spacing w:line="240" w:lineRule="auto"/>
              <w:jc w:val="right"/>
              <w:rPr>
                <w:sz w:val="20"/>
                <w:szCs w:val="20"/>
              </w:rPr>
            </w:pPr>
            <w:r w:rsidRPr="00BF1502">
              <w:rPr>
                <w:sz w:val="20"/>
                <w:szCs w:val="20"/>
              </w:rPr>
              <w:t>186.817</w:t>
            </w:r>
          </w:p>
        </w:tc>
        <w:tc>
          <w:tcPr>
            <w:tcW w:w="1996" w:type="dxa"/>
            <w:tcBorders>
              <w:top w:val="nil"/>
              <w:bottom w:val="nil"/>
              <w:right w:val="nil"/>
            </w:tcBorders>
            <w:noWrap/>
            <w:vAlign w:val="center"/>
          </w:tcPr>
          <w:p w:rsidR="0068108F" w:rsidRPr="00BF1502" w:rsidRDefault="0068108F" w:rsidP="004E3CDE">
            <w:pPr>
              <w:spacing w:line="240" w:lineRule="auto"/>
              <w:jc w:val="right"/>
              <w:rPr>
                <w:sz w:val="20"/>
                <w:szCs w:val="20"/>
              </w:rPr>
            </w:pPr>
            <w:r w:rsidRPr="00BF1502">
              <w:rPr>
                <w:sz w:val="20"/>
                <w:szCs w:val="20"/>
              </w:rPr>
              <w:t>646.657</w:t>
            </w:r>
          </w:p>
        </w:tc>
        <w:tc>
          <w:tcPr>
            <w:tcW w:w="2001" w:type="dxa"/>
            <w:tcBorders>
              <w:top w:val="nil"/>
              <w:bottom w:val="nil"/>
              <w:right w:val="nil"/>
            </w:tcBorders>
            <w:vAlign w:val="center"/>
          </w:tcPr>
          <w:p w:rsidR="0068108F" w:rsidRPr="00BF1502" w:rsidRDefault="0068108F" w:rsidP="004E3CDE">
            <w:pPr>
              <w:spacing w:line="240" w:lineRule="auto"/>
              <w:jc w:val="right"/>
              <w:rPr>
                <w:sz w:val="20"/>
                <w:szCs w:val="20"/>
              </w:rPr>
            </w:pPr>
            <w:r w:rsidRPr="00BF1502">
              <w:rPr>
                <w:sz w:val="20"/>
                <w:szCs w:val="20"/>
              </w:rPr>
              <w:t>28,9%</w:t>
            </w:r>
          </w:p>
        </w:tc>
      </w:tr>
      <w:tr w:rsidR="0068108F" w:rsidRPr="00BF1502" w:rsidTr="009A7E06">
        <w:trPr>
          <w:trHeight w:val="300"/>
          <w:jc w:val="center"/>
        </w:trPr>
        <w:tc>
          <w:tcPr>
            <w:tcW w:w="731" w:type="dxa"/>
            <w:tcBorders>
              <w:top w:val="nil"/>
              <w:left w:val="nil"/>
              <w:bottom w:val="nil"/>
            </w:tcBorders>
            <w:noWrap/>
            <w:vAlign w:val="center"/>
          </w:tcPr>
          <w:p w:rsidR="0068108F" w:rsidRPr="00BF1502" w:rsidRDefault="0068108F" w:rsidP="009B33BD">
            <w:pPr>
              <w:spacing w:line="240" w:lineRule="auto"/>
              <w:jc w:val="right"/>
              <w:rPr>
                <w:sz w:val="20"/>
                <w:szCs w:val="20"/>
              </w:rPr>
            </w:pPr>
            <w:r w:rsidRPr="00BF1502">
              <w:rPr>
                <w:sz w:val="20"/>
                <w:szCs w:val="20"/>
              </w:rPr>
              <w:t>2012</w:t>
            </w:r>
          </w:p>
        </w:tc>
        <w:tc>
          <w:tcPr>
            <w:tcW w:w="1203" w:type="dxa"/>
            <w:tcBorders>
              <w:top w:val="nil"/>
              <w:bottom w:val="nil"/>
            </w:tcBorders>
            <w:noWrap/>
            <w:vAlign w:val="center"/>
          </w:tcPr>
          <w:p w:rsidR="0068108F" w:rsidRPr="00BF1502" w:rsidRDefault="0068108F" w:rsidP="009B33BD">
            <w:pPr>
              <w:spacing w:line="240" w:lineRule="auto"/>
              <w:jc w:val="right"/>
              <w:rPr>
                <w:sz w:val="20"/>
                <w:szCs w:val="20"/>
              </w:rPr>
            </w:pPr>
            <w:r w:rsidRPr="00BF1502">
              <w:rPr>
                <w:sz w:val="20"/>
                <w:szCs w:val="20"/>
              </w:rPr>
              <w:t>971</w:t>
            </w:r>
          </w:p>
        </w:tc>
        <w:tc>
          <w:tcPr>
            <w:tcW w:w="1523" w:type="dxa"/>
            <w:tcBorders>
              <w:top w:val="nil"/>
              <w:bottom w:val="nil"/>
            </w:tcBorders>
            <w:noWrap/>
            <w:vAlign w:val="center"/>
          </w:tcPr>
          <w:p w:rsidR="0068108F" w:rsidRPr="00BF1502" w:rsidRDefault="0068108F" w:rsidP="009B33BD">
            <w:pPr>
              <w:spacing w:line="240" w:lineRule="auto"/>
              <w:jc w:val="right"/>
              <w:rPr>
                <w:sz w:val="20"/>
                <w:szCs w:val="20"/>
              </w:rPr>
            </w:pPr>
            <w:r w:rsidRPr="00BF1502">
              <w:rPr>
                <w:sz w:val="20"/>
                <w:szCs w:val="20"/>
              </w:rPr>
              <w:t>187.788</w:t>
            </w:r>
          </w:p>
        </w:tc>
        <w:tc>
          <w:tcPr>
            <w:tcW w:w="1996" w:type="dxa"/>
            <w:tcBorders>
              <w:top w:val="nil"/>
              <w:bottom w:val="nil"/>
              <w:right w:val="nil"/>
            </w:tcBorders>
            <w:noWrap/>
            <w:vAlign w:val="center"/>
          </w:tcPr>
          <w:p w:rsidR="0068108F" w:rsidRPr="00BF1502" w:rsidRDefault="0068108F" w:rsidP="004E3CDE">
            <w:pPr>
              <w:spacing w:line="240" w:lineRule="auto"/>
              <w:jc w:val="right"/>
              <w:rPr>
                <w:sz w:val="20"/>
                <w:szCs w:val="20"/>
              </w:rPr>
            </w:pPr>
            <w:r w:rsidRPr="00BF1502">
              <w:rPr>
                <w:sz w:val="20"/>
                <w:szCs w:val="20"/>
              </w:rPr>
              <w:t>629.114</w:t>
            </w:r>
          </w:p>
        </w:tc>
        <w:tc>
          <w:tcPr>
            <w:tcW w:w="2001" w:type="dxa"/>
            <w:tcBorders>
              <w:top w:val="nil"/>
              <w:bottom w:val="nil"/>
              <w:right w:val="nil"/>
            </w:tcBorders>
            <w:vAlign w:val="center"/>
          </w:tcPr>
          <w:p w:rsidR="0068108F" w:rsidRPr="00BF1502" w:rsidRDefault="0068108F" w:rsidP="004E3CDE">
            <w:pPr>
              <w:spacing w:line="240" w:lineRule="auto"/>
              <w:jc w:val="right"/>
              <w:rPr>
                <w:sz w:val="20"/>
                <w:szCs w:val="20"/>
              </w:rPr>
            </w:pPr>
            <w:r w:rsidRPr="00BF1502">
              <w:rPr>
                <w:sz w:val="20"/>
                <w:szCs w:val="20"/>
              </w:rPr>
              <w:t>29,8%</w:t>
            </w:r>
          </w:p>
        </w:tc>
      </w:tr>
      <w:tr w:rsidR="0068108F" w:rsidRPr="00BF1502" w:rsidTr="009A7E06">
        <w:trPr>
          <w:trHeight w:val="300"/>
          <w:jc w:val="center"/>
        </w:trPr>
        <w:tc>
          <w:tcPr>
            <w:tcW w:w="731" w:type="dxa"/>
            <w:tcBorders>
              <w:top w:val="nil"/>
              <w:left w:val="nil"/>
              <w:bottom w:val="nil"/>
            </w:tcBorders>
            <w:noWrap/>
            <w:vAlign w:val="center"/>
          </w:tcPr>
          <w:p w:rsidR="0068108F" w:rsidRPr="00BF1502" w:rsidRDefault="0068108F" w:rsidP="009B33BD">
            <w:pPr>
              <w:spacing w:line="240" w:lineRule="auto"/>
              <w:jc w:val="right"/>
              <w:rPr>
                <w:sz w:val="20"/>
                <w:szCs w:val="20"/>
              </w:rPr>
            </w:pPr>
            <w:r w:rsidRPr="00BF1502">
              <w:rPr>
                <w:sz w:val="20"/>
                <w:szCs w:val="20"/>
              </w:rPr>
              <w:t>2013</w:t>
            </w:r>
          </w:p>
        </w:tc>
        <w:tc>
          <w:tcPr>
            <w:tcW w:w="1203" w:type="dxa"/>
            <w:tcBorders>
              <w:top w:val="nil"/>
              <w:bottom w:val="nil"/>
            </w:tcBorders>
            <w:noWrap/>
            <w:vAlign w:val="center"/>
          </w:tcPr>
          <w:p w:rsidR="0068108F" w:rsidRPr="00BF1502" w:rsidRDefault="0068108F" w:rsidP="009B33BD">
            <w:pPr>
              <w:spacing w:line="240" w:lineRule="auto"/>
              <w:jc w:val="right"/>
              <w:rPr>
                <w:sz w:val="20"/>
                <w:szCs w:val="20"/>
              </w:rPr>
            </w:pPr>
            <w:r w:rsidRPr="00BF1502">
              <w:rPr>
                <w:sz w:val="20"/>
                <w:szCs w:val="20"/>
              </w:rPr>
              <w:t>460</w:t>
            </w:r>
          </w:p>
        </w:tc>
        <w:tc>
          <w:tcPr>
            <w:tcW w:w="1523" w:type="dxa"/>
            <w:tcBorders>
              <w:top w:val="nil"/>
              <w:bottom w:val="nil"/>
            </w:tcBorders>
            <w:noWrap/>
            <w:vAlign w:val="center"/>
          </w:tcPr>
          <w:p w:rsidR="0068108F" w:rsidRPr="00BF1502" w:rsidRDefault="0068108F" w:rsidP="009B33BD">
            <w:pPr>
              <w:spacing w:line="240" w:lineRule="auto"/>
              <w:jc w:val="right"/>
              <w:rPr>
                <w:sz w:val="20"/>
                <w:szCs w:val="20"/>
              </w:rPr>
            </w:pPr>
            <w:r w:rsidRPr="00BF1502">
              <w:rPr>
                <w:sz w:val="20"/>
                <w:szCs w:val="20"/>
              </w:rPr>
              <w:t>188.248</w:t>
            </w:r>
          </w:p>
        </w:tc>
        <w:tc>
          <w:tcPr>
            <w:tcW w:w="1996" w:type="dxa"/>
            <w:tcBorders>
              <w:top w:val="nil"/>
              <w:bottom w:val="nil"/>
              <w:right w:val="nil"/>
            </w:tcBorders>
            <w:noWrap/>
            <w:vAlign w:val="center"/>
          </w:tcPr>
          <w:p w:rsidR="0068108F" w:rsidRPr="00BF1502" w:rsidRDefault="0068108F" w:rsidP="004E3CDE">
            <w:pPr>
              <w:spacing w:line="240" w:lineRule="auto"/>
              <w:jc w:val="right"/>
              <w:rPr>
                <w:sz w:val="20"/>
                <w:szCs w:val="20"/>
              </w:rPr>
            </w:pPr>
            <w:r w:rsidRPr="00BF1502">
              <w:rPr>
                <w:sz w:val="20"/>
                <w:szCs w:val="20"/>
              </w:rPr>
              <w:t>599.207</w:t>
            </w:r>
          </w:p>
        </w:tc>
        <w:tc>
          <w:tcPr>
            <w:tcW w:w="2001" w:type="dxa"/>
            <w:tcBorders>
              <w:top w:val="nil"/>
              <w:bottom w:val="nil"/>
              <w:right w:val="nil"/>
            </w:tcBorders>
            <w:vAlign w:val="center"/>
          </w:tcPr>
          <w:p w:rsidR="0068108F" w:rsidRPr="00BF1502" w:rsidRDefault="0068108F" w:rsidP="004E3CDE">
            <w:pPr>
              <w:spacing w:line="240" w:lineRule="auto"/>
              <w:jc w:val="right"/>
              <w:rPr>
                <w:sz w:val="20"/>
                <w:szCs w:val="20"/>
              </w:rPr>
            </w:pPr>
            <w:r w:rsidRPr="00BF1502">
              <w:rPr>
                <w:sz w:val="20"/>
                <w:szCs w:val="20"/>
              </w:rPr>
              <w:t>31,4%</w:t>
            </w:r>
          </w:p>
        </w:tc>
      </w:tr>
      <w:tr w:rsidR="0068108F" w:rsidRPr="00BF1502" w:rsidTr="009A7E06">
        <w:trPr>
          <w:trHeight w:val="300"/>
          <w:jc w:val="center"/>
        </w:trPr>
        <w:tc>
          <w:tcPr>
            <w:tcW w:w="731" w:type="dxa"/>
            <w:tcBorders>
              <w:top w:val="nil"/>
              <w:left w:val="nil"/>
              <w:bottom w:val="nil"/>
            </w:tcBorders>
            <w:noWrap/>
            <w:vAlign w:val="center"/>
          </w:tcPr>
          <w:p w:rsidR="0068108F" w:rsidRPr="00BF1502" w:rsidRDefault="0068108F" w:rsidP="009B33BD">
            <w:pPr>
              <w:spacing w:line="240" w:lineRule="auto"/>
              <w:jc w:val="right"/>
              <w:rPr>
                <w:sz w:val="20"/>
                <w:szCs w:val="20"/>
              </w:rPr>
            </w:pPr>
            <w:r w:rsidRPr="00BF1502">
              <w:rPr>
                <w:sz w:val="20"/>
                <w:szCs w:val="20"/>
              </w:rPr>
              <w:t>2014</w:t>
            </w:r>
          </w:p>
        </w:tc>
        <w:tc>
          <w:tcPr>
            <w:tcW w:w="1203" w:type="dxa"/>
            <w:tcBorders>
              <w:top w:val="nil"/>
              <w:bottom w:val="nil"/>
            </w:tcBorders>
            <w:noWrap/>
            <w:vAlign w:val="center"/>
          </w:tcPr>
          <w:p w:rsidR="0068108F" w:rsidRPr="00BF1502" w:rsidRDefault="0068108F" w:rsidP="009B33BD">
            <w:pPr>
              <w:spacing w:line="240" w:lineRule="auto"/>
              <w:jc w:val="right"/>
              <w:rPr>
                <w:sz w:val="20"/>
                <w:szCs w:val="20"/>
              </w:rPr>
            </w:pPr>
            <w:r w:rsidRPr="00BF1502">
              <w:rPr>
                <w:sz w:val="20"/>
                <w:szCs w:val="20"/>
              </w:rPr>
              <w:t>966</w:t>
            </w:r>
          </w:p>
        </w:tc>
        <w:tc>
          <w:tcPr>
            <w:tcW w:w="1523" w:type="dxa"/>
            <w:tcBorders>
              <w:top w:val="nil"/>
              <w:bottom w:val="nil"/>
            </w:tcBorders>
            <w:noWrap/>
            <w:vAlign w:val="center"/>
          </w:tcPr>
          <w:p w:rsidR="0068108F" w:rsidRPr="00BF1502" w:rsidRDefault="0068108F" w:rsidP="009B33BD">
            <w:pPr>
              <w:spacing w:line="240" w:lineRule="auto"/>
              <w:jc w:val="right"/>
              <w:rPr>
                <w:sz w:val="20"/>
                <w:szCs w:val="20"/>
              </w:rPr>
            </w:pPr>
            <w:r w:rsidRPr="00BF1502">
              <w:rPr>
                <w:sz w:val="20"/>
                <w:szCs w:val="20"/>
              </w:rPr>
              <w:t>189.214</w:t>
            </w:r>
          </w:p>
        </w:tc>
        <w:tc>
          <w:tcPr>
            <w:tcW w:w="1996" w:type="dxa"/>
            <w:tcBorders>
              <w:top w:val="nil"/>
              <w:bottom w:val="nil"/>
              <w:right w:val="nil"/>
            </w:tcBorders>
            <w:noWrap/>
            <w:vAlign w:val="center"/>
          </w:tcPr>
          <w:p w:rsidR="0068108F" w:rsidRPr="00BF1502" w:rsidRDefault="0068108F" w:rsidP="004E3CDE">
            <w:pPr>
              <w:spacing w:line="240" w:lineRule="auto"/>
              <w:jc w:val="right"/>
              <w:rPr>
                <w:sz w:val="20"/>
                <w:szCs w:val="20"/>
              </w:rPr>
            </w:pPr>
            <w:r w:rsidRPr="00BF1502">
              <w:rPr>
                <w:sz w:val="20"/>
                <w:szCs w:val="20"/>
              </w:rPr>
              <w:t>576.856</w:t>
            </w:r>
          </w:p>
        </w:tc>
        <w:tc>
          <w:tcPr>
            <w:tcW w:w="2001" w:type="dxa"/>
            <w:tcBorders>
              <w:top w:val="nil"/>
              <w:bottom w:val="nil"/>
              <w:right w:val="nil"/>
            </w:tcBorders>
            <w:vAlign w:val="center"/>
          </w:tcPr>
          <w:p w:rsidR="0068108F" w:rsidRPr="00BF1502" w:rsidRDefault="0068108F" w:rsidP="004E3CDE">
            <w:pPr>
              <w:spacing w:line="240" w:lineRule="auto"/>
              <w:jc w:val="right"/>
              <w:rPr>
                <w:sz w:val="20"/>
                <w:szCs w:val="20"/>
              </w:rPr>
            </w:pPr>
            <w:r w:rsidRPr="00BF1502">
              <w:rPr>
                <w:sz w:val="20"/>
                <w:szCs w:val="20"/>
              </w:rPr>
              <w:t>32,8%</w:t>
            </w:r>
          </w:p>
        </w:tc>
      </w:tr>
      <w:tr w:rsidR="0068108F" w:rsidRPr="00BF1502" w:rsidTr="009A7E06">
        <w:trPr>
          <w:trHeight w:val="300"/>
          <w:jc w:val="center"/>
        </w:trPr>
        <w:tc>
          <w:tcPr>
            <w:tcW w:w="731" w:type="dxa"/>
            <w:tcBorders>
              <w:top w:val="nil"/>
              <w:left w:val="nil"/>
              <w:bottom w:val="nil"/>
            </w:tcBorders>
            <w:noWrap/>
            <w:vAlign w:val="center"/>
          </w:tcPr>
          <w:p w:rsidR="0068108F" w:rsidRPr="00BF1502" w:rsidRDefault="0068108F" w:rsidP="009B33BD">
            <w:pPr>
              <w:spacing w:line="240" w:lineRule="auto"/>
              <w:jc w:val="right"/>
              <w:rPr>
                <w:sz w:val="20"/>
                <w:szCs w:val="20"/>
              </w:rPr>
            </w:pPr>
            <w:r w:rsidRPr="00BF1502">
              <w:rPr>
                <w:sz w:val="20"/>
                <w:szCs w:val="20"/>
              </w:rPr>
              <w:t>2015</w:t>
            </w:r>
          </w:p>
        </w:tc>
        <w:tc>
          <w:tcPr>
            <w:tcW w:w="1203" w:type="dxa"/>
            <w:tcBorders>
              <w:top w:val="nil"/>
              <w:bottom w:val="nil"/>
            </w:tcBorders>
            <w:noWrap/>
            <w:vAlign w:val="center"/>
          </w:tcPr>
          <w:p w:rsidR="0068108F" w:rsidRPr="00BF1502" w:rsidRDefault="0068108F" w:rsidP="009B33BD">
            <w:pPr>
              <w:spacing w:line="240" w:lineRule="auto"/>
              <w:jc w:val="right"/>
              <w:rPr>
                <w:sz w:val="20"/>
                <w:szCs w:val="20"/>
              </w:rPr>
            </w:pPr>
            <w:r w:rsidRPr="00BF1502">
              <w:rPr>
                <w:sz w:val="20"/>
                <w:szCs w:val="20"/>
              </w:rPr>
              <w:t>1.463</w:t>
            </w:r>
          </w:p>
        </w:tc>
        <w:tc>
          <w:tcPr>
            <w:tcW w:w="1523" w:type="dxa"/>
            <w:tcBorders>
              <w:top w:val="nil"/>
              <w:bottom w:val="nil"/>
            </w:tcBorders>
            <w:noWrap/>
            <w:vAlign w:val="center"/>
          </w:tcPr>
          <w:p w:rsidR="0068108F" w:rsidRPr="00BF1502" w:rsidRDefault="0068108F" w:rsidP="009B33BD">
            <w:pPr>
              <w:spacing w:line="240" w:lineRule="auto"/>
              <w:jc w:val="right"/>
              <w:rPr>
                <w:sz w:val="20"/>
                <w:szCs w:val="20"/>
              </w:rPr>
            </w:pPr>
            <w:r w:rsidRPr="00BF1502">
              <w:rPr>
                <w:sz w:val="20"/>
                <w:szCs w:val="20"/>
              </w:rPr>
              <w:t>190.677</w:t>
            </w:r>
          </w:p>
        </w:tc>
        <w:tc>
          <w:tcPr>
            <w:tcW w:w="1996" w:type="dxa"/>
            <w:tcBorders>
              <w:top w:val="nil"/>
              <w:bottom w:val="nil"/>
              <w:right w:val="nil"/>
            </w:tcBorders>
            <w:noWrap/>
            <w:vAlign w:val="center"/>
          </w:tcPr>
          <w:p w:rsidR="0068108F" w:rsidRPr="00BF1502" w:rsidRDefault="0068108F" w:rsidP="004E3CDE">
            <w:pPr>
              <w:spacing w:line="240" w:lineRule="auto"/>
              <w:jc w:val="right"/>
              <w:rPr>
                <w:sz w:val="20"/>
                <w:szCs w:val="20"/>
              </w:rPr>
            </w:pPr>
            <w:r w:rsidRPr="00BF1502">
              <w:rPr>
                <w:sz w:val="20"/>
                <w:szCs w:val="20"/>
              </w:rPr>
              <w:t>566.913</w:t>
            </w:r>
          </w:p>
        </w:tc>
        <w:tc>
          <w:tcPr>
            <w:tcW w:w="2001" w:type="dxa"/>
            <w:tcBorders>
              <w:top w:val="nil"/>
              <w:bottom w:val="nil"/>
              <w:right w:val="nil"/>
            </w:tcBorders>
            <w:vAlign w:val="center"/>
          </w:tcPr>
          <w:p w:rsidR="0068108F" w:rsidRPr="00BF1502" w:rsidRDefault="0068108F" w:rsidP="004E3CDE">
            <w:pPr>
              <w:spacing w:line="240" w:lineRule="auto"/>
              <w:jc w:val="right"/>
              <w:rPr>
                <w:sz w:val="20"/>
                <w:szCs w:val="20"/>
              </w:rPr>
            </w:pPr>
            <w:r w:rsidRPr="00BF1502">
              <w:rPr>
                <w:sz w:val="20"/>
                <w:szCs w:val="20"/>
              </w:rPr>
              <w:t>33,6%</w:t>
            </w:r>
          </w:p>
        </w:tc>
      </w:tr>
      <w:tr w:rsidR="0068108F" w:rsidRPr="00BF1502" w:rsidTr="009A7E06">
        <w:trPr>
          <w:trHeight w:val="300"/>
          <w:jc w:val="center"/>
        </w:trPr>
        <w:tc>
          <w:tcPr>
            <w:tcW w:w="731" w:type="dxa"/>
            <w:tcBorders>
              <w:top w:val="nil"/>
              <w:left w:val="nil"/>
              <w:bottom w:val="nil"/>
            </w:tcBorders>
            <w:noWrap/>
            <w:vAlign w:val="center"/>
          </w:tcPr>
          <w:p w:rsidR="0068108F" w:rsidRPr="00BF1502" w:rsidRDefault="0068108F" w:rsidP="009B33BD">
            <w:pPr>
              <w:spacing w:line="240" w:lineRule="auto"/>
              <w:jc w:val="right"/>
              <w:rPr>
                <w:sz w:val="20"/>
                <w:szCs w:val="20"/>
              </w:rPr>
            </w:pPr>
            <w:r w:rsidRPr="00BF1502">
              <w:rPr>
                <w:sz w:val="20"/>
                <w:szCs w:val="20"/>
              </w:rPr>
              <w:t>2016</w:t>
            </w:r>
          </w:p>
        </w:tc>
        <w:tc>
          <w:tcPr>
            <w:tcW w:w="1203" w:type="dxa"/>
            <w:tcBorders>
              <w:top w:val="nil"/>
              <w:bottom w:val="nil"/>
            </w:tcBorders>
            <w:noWrap/>
            <w:vAlign w:val="center"/>
          </w:tcPr>
          <w:p w:rsidR="0068108F" w:rsidRPr="00BF1502" w:rsidRDefault="0068108F" w:rsidP="009B33BD">
            <w:pPr>
              <w:spacing w:line="240" w:lineRule="auto"/>
              <w:jc w:val="right"/>
              <w:rPr>
                <w:sz w:val="20"/>
                <w:szCs w:val="20"/>
              </w:rPr>
            </w:pPr>
            <w:r w:rsidRPr="00BF1502">
              <w:rPr>
                <w:sz w:val="20"/>
                <w:szCs w:val="20"/>
              </w:rPr>
              <w:t>2.878</w:t>
            </w:r>
          </w:p>
        </w:tc>
        <w:tc>
          <w:tcPr>
            <w:tcW w:w="1523" w:type="dxa"/>
            <w:tcBorders>
              <w:top w:val="nil"/>
              <w:bottom w:val="nil"/>
            </w:tcBorders>
            <w:noWrap/>
            <w:vAlign w:val="center"/>
          </w:tcPr>
          <w:p w:rsidR="0068108F" w:rsidRPr="00BF1502" w:rsidRDefault="0068108F" w:rsidP="009B33BD">
            <w:pPr>
              <w:spacing w:line="240" w:lineRule="auto"/>
              <w:jc w:val="right"/>
              <w:rPr>
                <w:sz w:val="20"/>
                <w:szCs w:val="20"/>
              </w:rPr>
            </w:pPr>
            <w:r w:rsidRPr="00BF1502">
              <w:rPr>
                <w:sz w:val="20"/>
                <w:szCs w:val="20"/>
              </w:rPr>
              <w:t>193.555</w:t>
            </w:r>
          </w:p>
        </w:tc>
        <w:tc>
          <w:tcPr>
            <w:tcW w:w="1996" w:type="dxa"/>
            <w:tcBorders>
              <w:top w:val="nil"/>
              <w:bottom w:val="nil"/>
              <w:right w:val="nil"/>
            </w:tcBorders>
            <w:noWrap/>
            <w:vAlign w:val="center"/>
          </w:tcPr>
          <w:p w:rsidR="0068108F" w:rsidRPr="00BF1502" w:rsidRDefault="0068108F" w:rsidP="004E3CDE">
            <w:pPr>
              <w:spacing w:line="240" w:lineRule="auto"/>
              <w:jc w:val="right"/>
              <w:rPr>
                <w:sz w:val="20"/>
                <w:szCs w:val="20"/>
              </w:rPr>
            </w:pPr>
            <w:r w:rsidRPr="00BF1502">
              <w:rPr>
                <w:sz w:val="20"/>
                <w:szCs w:val="20"/>
              </w:rPr>
              <w:t>565.671</w:t>
            </w:r>
          </w:p>
        </w:tc>
        <w:tc>
          <w:tcPr>
            <w:tcW w:w="2001" w:type="dxa"/>
            <w:tcBorders>
              <w:top w:val="nil"/>
              <w:bottom w:val="nil"/>
              <w:right w:val="nil"/>
            </w:tcBorders>
            <w:vAlign w:val="center"/>
          </w:tcPr>
          <w:p w:rsidR="0068108F" w:rsidRPr="00BF1502" w:rsidRDefault="0068108F" w:rsidP="004E3CDE">
            <w:pPr>
              <w:spacing w:line="240" w:lineRule="auto"/>
              <w:jc w:val="right"/>
              <w:rPr>
                <w:sz w:val="20"/>
                <w:szCs w:val="20"/>
              </w:rPr>
            </w:pPr>
            <w:r w:rsidRPr="00BF1502">
              <w:rPr>
                <w:sz w:val="20"/>
                <w:szCs w:val="20"/>
              </w:rPr>
              <w:t>34,2%</w:t>
            </w:r>
          </w:p>
        </w:tc>
      </w:tr>
      <w:tr w:rsidR="0068108F" w:rsidRPr="00BF1502" w:rsidTr="009A7E06">
        <w:trPr>
          <w:trHeight w:val="300"/>
          <w:jc w:val="center"/>
        </w:trPr>
        <w:tc>
          <w:tcPr>
            <w:tcW w:w="731" w:type="dxa"/>
            <w:tcBorders>
              <w:top w:val="nil"/>
              <w:left w:val="nil"/>
              <w:bottom w:val="single" w:sz="4" w:space="0" w:color="auto"/>
            </w:tcBorders>
            <w:noWrap/>
            <w:vAlign w:val="center"/>
          </w:tcPr>
          <w:p w:rsidR="0068108F" w:rsidRPr="00BF1502" w:rsidRDefault="0068108F" w:rsidP="00195735">
            <w:pPr>
              <w:spacing w:line="240" w:lineRule="auto"/>
              <w:jc w:val="right"/>
              <w:rPr>
                <w:sz w:val="20"/>
                <w:szCs w:val="20"/>
              </w:rPr>
            </w:pPr>
            <w:r w:rsidRPr="00BF1502">
              <w:rPr>
                <w:sz w:val="20"/>
                <w:szCs w:val="20"/>
              </w:rPr>
              <w:t>2017</w:t>
            </w:r>
            <w:r>
              <w:rPr>
                <w:sz w:val="20"/>
                <w:szCs w:val="20"/>
                <w:vertAlign w:val="superscript"/>
              </w:rPr>
              <w:t>*</w:t>
            </w:r>
          </w:p>
        </w:tc>
        <w:tc>
          <w:tcPr>
            <w:tcW w:w="1203" w:type="dxa"/>
            <w:tcBorders>
              <w:top w:val="nil"/>
              <w:bottom w:val="single" w:sz="4" w:space="0" w:color="auto"/>
            </w:tcBorders>
            <w:noWrap/>
            <w:vAlign w:val="center"/>
          </w:tcPr>
          <w:p w:rsidR="0068108F" w:rsidRPr="00BF1502" w:rsidRDefault="0068108F" w:rsidP="009B33BD">
            <w:pPr>
              <w:spacing w:line="240" w:lineRule="auto"/>
              <w:jc w:val="right"/>
              <w:rPr>
                <w:sz w:val="20"/>
                <w:szCs w:val="20"/>
              </w:rPr>
            </w:pPr>
            <w:r w:rsidRPr="00BF1502">
              <w:rPr>
                <w:sz w:val="20"/>
                <w:szCs w:val="20"/>
              </w:rPr>
              <w:t>3.516</w:t>
            </w:r>
          </w:p>
        </w:tc>
        <w:tc>
          <w:tcPr>
            <w:tcW w:w="1523" w:type="dxa"/>
            <w:tcBorders>
              <w:top w:val="nil"/>
              <w:bottom w:val="single" w:sz="4" w:space="0" w:color="auto"/>
            </w:tcBorders>
            <w:noWrap/>
            <w:vAlign w:val="center"/>
          </w:tcPr>
          <w:p w:rsidR="0068108F" w:rsidRPr="00BF1502" w:rsidRDefault="0068108F" w:rsidP="009B33BD">
            <w:pPr>
              <w:spacing w:line="240" w:lineRule="auto"/>
              <w:jc w:val="right"/>
              <w:rPr>
                <w:sz w:val="20"/>
                <w:szCs w:val="20"/>
              </w:rPr>
            </w:pPr>
            <w:r w:rsidRPr="00BF1502">
              <w:rPr>
                <w:sz w:val="20"/>
                <w:szCs w:val="20"/>
              </w:rPr>
              <w:t>197.071</w:t>
            </w:r>
          </w:p>
        </w:tc>
        <w:tc>
          <w:tcPr>
            <w:tcW w:w="1996" w:type="dxa"/>
            <w:tcBorders>
              <w:top w:val="nil"/>
              <w:bottom w:val="single" w:sz="4" w:space="0" w:color="auto"/>
              <w:right w:val="nil"/>
            </w:tcBorders>
            <w:noWrap/>
            <w:vAlign w:val="center"/>
          </w:tcPr>
          <w:p w:rsidR="0068108F" w:rsidRPr="00BF1502" w:rsidRDefault="0068108F" w:rsidP="004E3CDE">
            <w:pPr>
              <w:spacing w:line="240" w:lineRule="auto"/>
              <w:jc w:val="right"/>
              <w:rPr>
                <w:sz w:val="20"/>
                <w:szCs w:val="20"/>
              </w:rPr>
            </w:pPr>
            <w:r w:rsidRPr="00BF1502">
              <w:rPr>
                <w:sz w:val="20"/>
                <w:szCs w:val="20"/>
              </w:rPr>
              <w:t>566.763</w:t>
            </w:r>
          </w:p>
        </w:tc>
        <w:tc>
          <w:tcPr>
            <w:tcW w:w="2001" w:type="dxa"/>
            <w:tcBorders>
              <w:top w:val="nil"/>
              <w:bottom w:val="single" w:sz="4" w:space="0" w:color="auto"/>
              <w:right w:val="nil"/>
            </w:tcBorders>
            <w:vAlign w:val="center"/>
          </w:tcPr>
          <w:p w:rsidR="0068108F" w:rsidRPr="00BF1502" w:rsidRDefault="0068108F" w:rsidP="004E3CDE">
            <w:pPr>
              <w:spacing w:line="240" w:lineRule="auto"/>
              <w:jc w:val="right"/>
              <w:rPr>
                <w:sz w:val="20"/>
                <w:szCs w:val="20"/>
              </w:rPr>
            </w:pPr>
            <w:r w:rsidRPr="00BF1502">
              <w:rPr>
                <w:sz w:val="20"/>
                <w:szCs w:val="20"/>
              </w:rPr>
              <w:t>34,8%</w:t>
            </w:r>
          </w:p>
        </w:tc>
      </w:tr>
    </w:tbl>
    <w:p w:rsidR="0068108F" w:rsidRPr="00991AC8" w:rsidRDefault="0068108F" w:rsidP="002C3B1E">
      <w:pPr>
        <w:spacing w:line="240" w:lineRule="auto"/>
        <w:rPr>
          <w:sz w:val="20"/>
          <w:szCs w:val="23"/>
        </w:rPr>
      </w:pPr>
      <w:r>
        <w:rPr>
          <w:sz w:val="20"/>
          <w:szCs w:val="23"/>
        </w:rPr>
        <w:t>Πηγές: Α.Σ.Ε.Π. (2004, 2016), επεξεργασία στοιχείων</w:t>
      </w:r>
      <w:r>
        <w:rPr>
          <w:sz w:val="20"/>
          <w:szCs w:val="20"/>
        </w:rPr>
        <w:sym w:font="Wingdings" w:char="F09E"/>
      </w:r>
      <w:r>
        <w:rPr>
          <w:sz w:val="20"/>
          <w:szCs w:val="23"/>
        </w:rPr>
        <w:t xml:space="preserve"> Μητρώο ανθρώπινου δυναμικού ελληνικού δημοσίου (</w:t>
      </w:r>
      <w:r w:rsidRPr="00991AC8">
        <w:rPr>
          <w:sz w:val="20"/>
          <w:szCs w:val="23"/>
          <w:lang w:val="en-US"/>
        </w:rPr>
        <w:t>apografi</w:t>
      </w:r>
      <w:r w:rsidRPr="00991AC8">
        <w:rPr>
          <w:sz w:val="20"/>
          <w:szCs w:val="23"/>
        </w:rPr>
        <w:t>.</w:t>
      </w:r>
      <w:r w:rsidRPr="00991AC8">
        <w:rPr>
          <w:sz w:val="20"/>
          <w:szCs w:val="23"/>
          <w:lang w:val="en-US"/>
        </w:rPr>
        <w:t>gov</w:t>
      </w:r>
      <w:r w:rsidRPr="00991AC8">
        <w:rPr>
          <w:sz w:val="20"/>
          <w:szCs w:val="23"/>
        </w:rPr>
        <w:t>.</w:t>
      </w:r>
      <w:r w:rsidRPr="00991AC8">
        <w:rPr>
          <w:sz w:val="20"/>
          <w:szCs w:val="23"/>
          <w:lang w:val="en-US"/>
        </w:rPr>
        <w:t>gr</w:t>
      </w:r>
      <w:r w:rsidRPr="00991AC8">
        <w:rPr>
          <w:sz w:val="20"/>
          <w:szCs w:val="23"/>
        </w:rPr>
        <w:t>, πρόσβαση: 6 Δεκεμβρίου 2017</w:t>
      </w:r>
      <w:r>
        <w:rPr>
          <w:sz w:val="20"/>
          <w:szCs w:val="23"/>
        </w:rPr>
        <w:t>)</w:t>
      </w:r>
      <w:r w:rsidRPr="00991AC8">
        <w:rPr>
          <w:sz w:val="20"/>
          <w:szCs w:val="23"/>
        </w:rPr>
        <w:t>.</w:t>
      </w:r>
      <w:r>
        <w:rPr>
          <w:sz w:val="20"/>
          <w:szCs w:val="23"/>
        </w:rPr>
        <w:t xml:space="preserve"> </w:t>
      </w:r>
      <w:r>
        <w:rPr>
          <w:sz w:val="20"/>
          <w:szCs w:val="20"/>
          <w:vertAlign w:val="superscript"/>
        </w:rPr>
        <w:t>*</w:t>
      </w:r>
      <w:r>
        <w:rPr>
          <w:sz w:val="20"/>
          <w:szCs w:val="20"/>
        </w:rPr>
        <w:t xml:space="preserve">Υπολογισμοί έως και Οκτωβρίου 2017. </w:t>
      </w:r>
    </w:p>
    <w:p w:rsidR="0068108F" w:rsidRDefault="0068108F" w:rsidP="0000040C">
      <w:pPr>
        <w:spacing w:line="240" w:lineRule="auto"/>
        <w:rPr>
          <w:sz w:val="20"/>
          <w:szCs w:val="20"/>
        </w:rPr>
      </w:pPr>
    </w:p>
    <w:p w:rsidR="0068108F" w:rsidRDefault="0068108F" w:rsidP="00A46795">
      <w:pPr>
        <w:rPr>
          <w:szCs w:val="23"/>
        </w:rPr>
      </w:pPr>
      <w:r>
        <w:rPr>
          <w:szCs w:val="23"/>
        </w:rPr>
        <w:t>Με βάση τα στοιχεία του μητρώου ανθρώπινου δυναμικού στο δημόσιο, στο γράφημα 1 παρουσιάζεται ο συνολικός αριθμός του τακτικού προσωπικού των δημοσίων υπηρεσιών την περίοδο 2009-2017. Όπως προκύπτει σχετικά, κατά την εν λόγω περίοδο το προσωπικό μειώθηκε σταδιακά από 692.907 άτομα το 2009 σε 566.763 το 2017, υπακούοντας στη λογική μέτρων</w:t>
      </w:r>
      <w:r>
        <w:rPr>
          <w:rStyle w:val="FootnoteReference"/>
          <w:szCs w:val="23"/>
        </w:rPr>
        <w:footnoteReference w:id="65"/>
      </w:r>
      <w:r>
        <w:rPr>
          <w:szCs w:val="23"/>
        </w:rPr>
        <w:t xml:space="preserve"> περιορισμού του δημοσιονομικού κόστους και ειδικότερα της μισθολογικής δαπάνης στο δημόσιο, στο πλαίσιο των μνημονιακών υποχρεώσεων της χώρας. Μετά το 2015 το μέγεθος του προσωπικού εμφανίζει τάση σταθεροποίησης.</w:t>
      </w:r>
    </w:p>
    <w:p w:rsidR="0068108F" w:rsidRDefault="0068108F" w:rsidP="00A46795">
      <w:pPr>
        <w:rPr>
          <w:szCs w:val="23"/>
        </w:rPr>
      </w:pPr>
    </w:p>
    <w:p w:rsidR="0068108F" w:rsidRDefault="0068108F" w:rsidP="009A4754">
      <w:pPr>
        <w:pStyle w:val="Caption"/>
        <w:keepNext/>
        <w:jc w:val="center"/>
      </w:pPr>
      <w:r>
        <w:t xml:space="preserve">Γράφημα </w:t>
      </w:r>
      <w:fldSimple w:instr=" SEQ Γράφημα \* ARABIC ">
        <w:r>
          <w:rPr>
            <w:noProof/>
          </w:rPr>
          <w:t>1</w:t>
        </w:r>
      </w:fldSimple>
      <w:r>
        <w:t>: Σύνολο προσωπικού στο δημόσιο.</w:t>
      </w:r>
    </w:p>
    <w:p w:rsidR="0068108F" w:rsidRDefault="0068108F" w:rsidP="009F136C">
      <w:pPr>
        <w:jc w:val="center"/>
        <w:rPr>
          <w:szCs w:val="23"/>
        </w:rPr>
      </w:pPr>
      <w:r w:rsidRPr="00CA1B95">
        <w:rPr>
          <w:noProof/>
          <w:szCs w:val="23"/>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Γράφημα 2" o:spid="_x0000_i1025" type="#_x0000_t75" style="width:316.5pt;height:159.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">
            <v:imagedata r:id="rId7" o:title="" cropbottom="-82f"/>
            <o:lock v:ext="edit" aspectratio="f"/>
          </v:shape>
        </w:pict>
      </w:r>
    </w:p>
    <w:p w:rsidR="0068108F" w:rsidRDefault="0068108F" w:rsidP="009A4754">
      <w:pPr>
        <w:rPr>
          <w:sz w:val="20"/>
          <w:szCs w:val="23"/>
        </w:rPr>
      </w:pPr>
      <w:r>
        <w:rPr>
          <w:sz w:val="20"/>
          <w:szCs w:val="23"/>
        </w:rPr>
        <w:tab/>
        <w:t>Πηγή</w:t>
      </w:r>
      <w:r w:rsidRPr="00991AC8">
        <w:rPr>
          <w:sz w:val="20"/>
          <w:szCs w:val="23"/>
        </w:rPr>
        <w:t xml:space="preserve">: </w:t>
      </w:r>
      <w:r>
        <w:rPr>
          <w:sz w:val="20"/>
          <w:szCs w:val="23"/>
        </w:rPr>
        <w:t>Μητρώο ανθρώπινου δυναμικού ελληνικού δημοσίου (</w:t>
      </w:r>
      <w:r w:rsidRPr="00991AC8">
        <w:rPr>
          <w:sz w:val="20"/>
          <w:szCs w:val="23"/>
          <w:lang w:val="en-US"/>
        </w:rPr>
        <w:t>apografi</w:t>
      </w:r>
      <w:r w:rsidRPr="00991AC8">
        <w:rPr>
          <w:sz w:val="20"/>
          <w:szCs w:val="23"/>
        </w:rPr>
        <w:t>.</w:t>
      </w:r>
      <w:r w:rsidRPr="00991AC8">
        <w:rPr>
          <w:sz w:val="20"/>
          <w:szCs w:val="23"/>
          <w:lang w:val="en-US"/>
        </w:rPr>
        <w:t>gov</w:t>
      </w:r>
      <w:r w:rsidRPr="00991AC8">
        <w:rPr>
          <w:sz w:val="20"/>
          <w:szCs w:val="23"/>
        </w:rPr>
        <w:t>.</w:t>
      </w:r>
      <w:r w:rsidRPr="00991AC8">
        <w:rPr>
          <w:sz w:val="20"/>
          <w:szCs w:val="23"/>
          <w:lang w:val="en-US"/>
        </w:rPr>
        <w:t>gr</w:t>
      </w:r>
      <w:r w:rsidRPr="00991AC8">
        <w:rPr>
          <w:sz w:val="20"/>
          <w:szCs w:val="23"/>
        </w:rPr>
        <w:t xml:space="preserve">, πρόσβαση: 6 </w:t>
      </w:r>
    </w:p>
    <w:p w:rsidR="0068108F" w:rsidRDefault="0068108F" w:rsidP="009A4754">
      <w:pPr>
        <w:rPr>
          <w:szCs w:val="23"/>
        </w:rPr>
      </w:pPr>
      <w:r>
        <w:rPr>
          <w:sz w:val="20"/>
          <w:szCs w:val="23"/>
        </w:rPr>
        <w:tab/>
      </w:r>
      <w:r w:rsidRPr="00991AC8">
        <w:rPr>
          <w:sz w:val="20"/>
          <w:szCs w:val="23"/>
        </w:rPr>
        <w:t>Δεκεμβρίου 2017</w:t>
      </w:r>
      <w:r>
        <w:rPr>
          <w:sz w:val="20"/>
          <w:szCs w:val="23"/>
        </w:rPr>
        <w:t>). * Στοιχεία έως και Οκτ. 2017.</w:t>
      </w:r>
    </w:p>
    <w:p w:rsidR="0068108F" w:rsidRDefault="0068108F" w:rsidP="00A46795">
      <w:pPr>
        <w:rPr>
          <w:szCs w:val="23"/>
        </w:rPr>
      </w:pPr>
    </w:p>
    <w:p w:rsidR="0068108F" w:rsidRDefault="0068108F" w:rsidP="00A46795">
      <w:pPr>
        <w:rPr>
          <w:szCs w:val="23"/>
        </w:rPr>
      </w:pPr>
      <w:r>
        <w:rPr>
          <w:szCs w:val="23"/>
        </w:rPr>
        <w:t xml:space="preserve">Από την ίδρυση του Α.Σ.Ε.Π. (1994) και έπειτα ο αριθμός των υπαλλήλων που έχει διοριστεί μέσω διαδικασιών Α.Σ.Ε.Π. (γραπτοί διαγωνισμοί και με μόρια) σημειώνει αυξητική τάση (πίνακας 1). Έως και το 2007 ο ετήσιος ρυθμός αύξησης ήταν διψήφιος (με εξαίρεση το 2004 που περιορίστηκε σε 7%). Κατά την περίοδο 2011-2017 το προσωπικό που έχει επιλεγεί μέσω Α.Σ.Ε.Π. αυξάνεται κατά μέσο ετήσιο όρο 1,1%, ενώ η χαμηλότερη μεταβολή σημειώνεται το 2013 όπου προσλήφθηκαν μόλις 460 άτομα αυξάνοντας το συνολικό μέγεθος  της «γενιάς του Α.Σ.Ε.Π.» κατά 0,2%. </w:t>
      </w:r>
    </w:p>
    <w:p w:rsidR="0068108F" w:rsidRDefault="0068108F" w:rsidP="00A46795">
      <w:pPr>
        <w:rPr>
          <w:szCs w:val="23"/>
        </w:rPr>
      </w:pPr>
    </w:p>
    <w:p w:rsidR="0068108F" w:rsidRDefault="0068108F" w:rsidP="00A46795">
      <w:pPr>
        <w:rPr>
          <w:szCs w:val="23"/>
        </w:rPr>
      </w:pPr>
      <w:r>
        <w:rPr>
          <w:szCs w:val="23"/>
        </w:rPr>
        <w:t>Παράλληλα, το συνολικό μέγεθος του ανθρώπινου δυναμικού στο δημόσιο συρρικνώθηκε αισθητά (πίνακας 1 και γράφημα 2). Η μείωση του προσωπικού κατά την περίοδο 2009-2017 ανέρχεται, συνολικά, σε 19,7%. Όπως απεικονίζεται στο γράφημα 2, η μεγαλύτερη ποσοστιαία μείωση καταγράφεται το 2013 καθώς η συρρίκνωση του ανθρώπινου δυναμικού άγγιζε το 4,8% (ήτοι 29.707 άτομα λιγότερα) σε σχέση με το προηγούμενο έτος (2012). Στα τέλη του 2017 ο αριθμός του τακτικού προσωπικού στο δημόσιο μεταβλήθηκε οριακά θετικά, για πρώτη φορά από την έναρξη καταγραφής δεδομένων στο μητρώο (2009).</w:t>
      </w:r>
    </w:p>
    <w:p w:rsidR="0068108F" w:rsidRDefault="0068108F" w:rsidP="00A46795">
      <w:pPr>
        <w:rPr>
          <w:szCs w:val="23"/>
        </w:rPr>
      </w:pPr>
    </w:p>
    <w:p w:rsidR="0068108F" w:rsidRPr="007E3D29" w:rsidRDefault="0068108F" w:rsidP="007E3D29">
      <w:pPr>
        <w:pStyle w:val="Caption"/>
        <w:keepNext/>
        <w:jc w:val="left"/>
      </w:pPr>
      <w:r w:rsidRPr="007E3D29">
        <w:tab/>
        <w:t xml:space="preserve">Γράφημα </w:t>
      </w:r>
      <w:fldSimple w:instr=" SEQ Γράφημα \* ARABIC ">
        <w:r>
          <w:rPr>
            <w:noProof/>
          </w:rPr>
          <w:t>2</w:t>
        </w:r>
      </w:fldSimple>
      <w:r w:rsidRPr="007E3D29">
        <w:t xml:space="preserve">: </w:t>
      </w:r>
      <w:r>
        <w:t>Π</w:t>
      </w:r>
      <w:r w:rsidRPr="007E3D29">
        <w:t xml:space="preserve">ροσλήψεις </w:t>
      </w:r>
      <w:r>
        <w:t>μέσω Α.Σ.Ε.Π</w:t>
      </w:r>
      <w:r w:rsidRPr="007E3D29">
        <w:t>.</w:t>
      </w:r>
      <w:r>
        <w:t xml:space="preserve"> και μεταβολή προσωπικό στο δημόσιο.</w:t>
      </w:r>
    </w:p>
    <w:p w:rsidR="0068108F" w:rsidRDefault="0068108F" w:rsidP="00036B8A">
      <w:pPr>
        <w:jc w:val="center"/>
        <w:rPr>
          <w:szCs w:val="23"/>
        </w:rPr>
      </w:pPr>
      <w:r w:rsidRPr="00CA1B95">
        <w:rPr>
          <w:noProof/>
          <w:szCs w:val="23"/>
          <w:lang w:val="en-US"/>
        </w:rPr>
        <w:pict>
          <v:shape id="Γράφημα 3" o:spid="_x0000_i1026" type="#_x0000_t75" style="width:432.75pt;height:215.2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">
            <v:imagedata r:id="rId8" o:title="" cropbottom="-15f"/>
            <o:lock v:ext="edit" aspectratio="f"/>
          </v:shape>
        </w:pict>
      </w:r>
    </w:p>
    <w:p w:rsidR="0068108F" w:rsidRDefault="0068108F" w:rsidP="00036B8A">
      <w:pPr>
        <w:rPr>
          <w:szCs w:val="23"/>
        </w:rPr>
      </w:pPr>
      <w:r>
        <w:rPr>
          <w:sz w:val="20"/>
          <w:szCs w:val="23"/>
        </w:rPr>
        <w:t>Πηγή</w:t>
      </w:r>
      <w:r w:rsidRPr="00991AC8">
        <w:rPr>
          <w:sz w:val="20"/>
          <w:szCs w:val="23"/>
        </w:rPr>
        <w:t>: Α.Σ.Ε.Π. (20</w:t>
      </w:r>
      <w:r>
        <w:rPr>
          <w:sz w:val="20"/>
          <w:szCs w:val="23"/>
        </w:rPr>
        <w:t>09</w:t>
      </w:r>
      <w:r w:rsidRPr="00991AC8">
        <w:rPr>
          <w:sz w:val="20"/>
          <w:szCs w:val="23"/>
        </w:rPr>
        <w:t>, 2016)</w:t>
      </w:r>
      <w:r w:rsidRPr="0000040C">
        <w:rPr>
          <w:sz w:val="20"/>
          <w:szCs w:val="23"/>
        </w:rPr>
        <w:t xml:space="preserve"> </w:t>
      </w:r>
      <w:r>
        <w:rPr>
          <w:sz w:val="20"/>
          <w:szCs w:val="23"/>
        </w:rPr>
        <w:t>και μητρώο ανθρώπινου δυναμικού ελληνικού δημοσίου (</w:t>
      </w:r>
      <w:r>
        <w:rPr>
          <w:sz w:val="20"/>
          <w:szCs w:val="23"/>
          <w:lang w:val="en-US"/>
        </w:rPr>
        <w:t>apografi</w:t>
      </w:r>
      <w:r w:rsidRPr="0000040C">
        <w:rPr>
          <w:sz w:val="20"/>
          <w:szCs w:val="23"/>
        </w:rPr>
        <w:t>.</w:t>
      </w:r>
      <w:r>
        <w:rPr>
          <w:sz w:val="20"/>
          <w:szCs w:val="23"/>
          <w:lang w:val="en-US"/>
        </w:rPr>
        <w:t>gov</w:t>
      </w:r>
      <w:r w:rsidRPr="0000040C">
        <w:rPr>
          <w:sz w:val="20"/>
          <w:szCs w:val="23"/>
        </w:rPr>
        <w:t>.</w:t>
      </w:r>
      <w:r>
        <w:rPr>
          <w:sz w:val="20"/>
          <w:szCs w:val="23"/>
          <w:lang w:val="en-US"/>
        </w:rPr>
        <w:t>gr</w:t>
      </w:r>
      <w:r>
        <w:rPr>
          <w:sz w:val="20"/>
          <w:szCs w:val="23"/>
        </w:rPr>
        <w:t>, πρόσβαση: 6 Δεκεμβρίου 2017).</w:t>
      </w:r>
      <w:r w:rsidRPr="004A56A9">
        <w:rPr>
          <w:sz w:val="20"/>
          <w:szCs w:val="23"/>
        </w:rPr>
        <w:t xml:space="preserve"> </w:t>
      </w:r>
      <w:r>
        <w:rPr>
          <w:sz w:val="20"/>
          <w:szCs w:val="23"/>
        </w:rPr>
        <w:t>*Στοιχεία έως Οκτ. 2017. Αριστερή στήλη: προσωπικό μέσω Α.Σ.Ε.Π., δεξιά στήλη: ετήσια μεταβολή συνολικού τακτικού προσωπικού που απασχολείται στο δημόσιο.</w:t>
      </w:r>
    </w:p>
    <w:p w:rsidR="0068108F" w:rsidRDefault="0068108F" w:rsidP="00036B8A">
      <w:pPr>
        <w:rPr>
          <w:szCs w:val="23"/>
        </w:rPr>
      </w:pPr>
      <w:r>
        <w:rPr>
          <w:szCs w:val="23"/>
        </w:rPr>
        <w:t xml:space="preserve"> </w:t>
      </w:r>
    </w:p>
    <w:p w:rsidR="0068108F" w:rsidRDefault="0068108F" w:rsidP="00036B8A">
      <w:pPr>
        <w:rPr>
          <w:szCs w:val="23"/>
        </w:rPr>
      </w:pPr>
      <w:r>
        <w:rPr>
          <w:szCs w:val="23"/>
        </w:rPr>
        <w:t>Στο γράφημα 3 επιχειρείται η συγκριτική προσέγγιση του αριθμού του προσωπικού που υπηρετεί στις δημόσιες υπηρεσίες και έχει επιλεγεί μέσω Α.Σ.Ε.Π. σε σχέση με το υπόλοιπο ανθρώπινο δυναμικό που απομένει αν αφαιρεθεί από το σύνολο του τακτικού προσωπικού του μητρώου ελληνικού δημοσίου το προσωπικό που επιλέχθηκε μέσω Α.Σ.Ε.Π. Όπως προκύπτει ως εύρημα από το γράφημα 3, η προοδευτική αύξηση του μεγέθους της «γενιάς του Α.Σ.Ε.Π.» σε συνδυασμό με τη μείωση του προσωπικού που απασχολείται στο δημόσιο (πίνακας 1 και γράφημα 1) κατά το χρονικό διάστημα 2009-2017 έχει ως αποτέλεσμα την αύξηση του μεριδίου του ανθρώπινου δυναμικού που έχει επιλεγεί μέσω Α.Σ.Ε.Π. κατά δέκα ποσοστιαίες μονάδες (από 24,7% σε 34,8%)</w:t>
      </w:r>
      <w:r>
        <w:rPr>
          <w:rStyle w:val="FootnoteReference"/>
          <w:szCs w:val="23"/>
        </w:rPr>
        <w:footnoteReference w:id="66"/>
      </w:r>
      <w:r>
        <w:rPr>
          <w:szCs w:val="23"/>
        </w:rPr>
        <w:t xml:space="preserve">. Υπό άλλη διατύπωση, η «γενιά του Α.Σ.Ε.Π.» ενίσχυσε την παρουσία της στις δημόσιες υπηρεσίες, στοιχείο που παρέχει ενδείξεις προοδευτικής ενδυνάμωσης της αξιοκρατικής επιλογής προσωπικού. </w:t>
      </w:r>
    </w:p>
    <w:p w:rsidR="0068108F" w:rsidRDefault="0068108F" w:rsidP="00036B8A">
      <w:pPr>
        <w:rPr>
          <w:szCs w:val="23"/>
        </w:rPr>
      </w:pPr>
    </w:p>
    <w:p w:rsidR="0068108F" w:rsidRDefault="0068108F" w:rsidP="00036B8A">
      <w:pPr>
        <w:rPr>
          <w:szCs w:val="23"/>
        </w:rPr>
      </w:pPr>
      <w:r>
        <w:rPr>
          <w:szCs w:val="23"/>
        </w:rPr>
        <w:t>Από την άλλη πλευρά, το μερίδιο του ανθρώπινου δυναμικού που δεν έχει επιλεγεί με διαδικασίες Α.Σ.Ε.Π. συρρικνώθηκε από 75,3% το 2009 σε 65,2% το 2017. Σε απόλυτα μεγέθη η μείωση μεταξύ των ετών 2009 και 2017 ανήλθε σε 29,2%. Δεδομένου ότι σε αυτήν την κατηγορία περιλαμβάνεται και προσωπικό που έχει επιλεγεί με διαγωνιστικές διαδικασίες (π.χ. μέσω Εθνικής Σχολής Δημόσιας Διοίκησης και Αυτοδιοίκησης καθώς και άλλων παραγωγικών Σχολών) η εξαγωγή συμπερασμάτων εκτιμάται ότι είναι ιδιαίτερα δύσκολη. Πάντως, ο περιορισμός της εν λόγω κατηγορίας τείνει να υποδηλώνει σε ορισμένο βαθμό –έμμεσα– τη μείωση του προσωπικού των δημοσίων υπηρεσιών που δεν προσλήφθηκε με διαγωνιστική διαδικασία.</w:t>
      </w:r>
    </w:p>
    <w:p w:rsidR="0068108F" w:rsidRDefault="0068108F" w:rsidP="00036B8A">
      <w:pPr>
        <w:rPr>
          <w:szCs w:val="23"/>
        </w:rPr>
      </w:pPr>
    </w:p>
    <w:p w:rsidR="0068108F" w:rsidRDefault="0068108F" w:rsidP="007E3D29">
      <w:pPr>
        <w:pStyle w:val="Caption"/>
        <w:keepNext/>
        <w:jc w:val="left"/>
      </w:pPr>
      <w:r>
        <w:tab/>
        <w:t xml:space="preserve">Γράφημα </w:t>
      </w:r>
      <w:fldSimple w:instr=" SEQ Γράφημα \* ARABIC ">
        <w:r>
          <w:rPr>
            <w:noProof/>
          </w:rPr>
          <w:t>3</w:t>
        </w:r>
      </w:fldSimple>
      <w:r>
        <w:t>: Προέλευση ανθρώπινου δυναμικού βάσει διαδικασίας επιλογής.</w:t>
      </w:r>
    </w:p>
    <w:p w:rsidR="0068108F" w:rsidRDefault="0068108F" w:rsidP="00036B8A">
      <w:pPr>
        <w:jc w:val="center"/>
        <w:rPr>
          <w:szCs w:val="23"/>
        </w:rPr>
      </w:pPr>
      <w:r w:rsidRPr="00CA1B95">
        <w:rPr>
          <w:noProof/>
          <w:szCs w:val="23"/>
          <w:lang w:val="en-US"/>
        </w:rPr>
        <w:pict>
          <v:shape id="_x0000_i1027" type="#_x0000_t75" style="width:361.5pt;height:186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">
            <v:imagedata r:id="rId9" o:title="" cropbottom="-71f"/>
            <o:lock v:ext="edit" aspectratio="f"/>
          </v:shape>
        </w:pict>
      </w:r>
    </w:p>
    <w:p w:rsidR="0068108F" w:rsidRPr="00991AC8" w:rsidRDefault="0068108F" w:rsidP="00991AC8">
      <w:pPr>
        <w:spacing w:line="240" w:lineRule="auto"/>
        <w:rPr>
          <w:sz w:val="20"/>
          <w:szCs w:val="23"/>
        </w:rPr>
      </w:pPr>
      <w:r>
        <w:rPr>
          <w:sz w:val="20"/>
          <w:szCs w:val="23"/>
        </w:rPr>
        <w:t>Πηγές: Α.Σ.Ε.Π. (2009, 2016) και</w:t>
      </w:r>
      <w:r w:rsidRPr="0000040C">
        <w:rPr>
          <w:sz w:val="20"/>
          <w:szCs w:val="23"/>
        </w:rPr>
        <w:t xml:space="preserve"> </w:t>
      </w:r>
      <w:r>
        <w:rPr>
          <w:sz w:val="20"/>
          <w:szCs w:val="23"/>
        </w:rPr>
        <w:t>μητρώο ανθρώπινου δυναμικού</w:t>
      </w:r>
      <w:r w:rsidRPr="006872B9">
        <w:rPr>
          <w:sz w:val="20"/>
          <w:szCs w:val="23"/>
        </w:rPr>
        <w:t xml:space="preserve"> </w:t>
      </w:r>
      <w:r>
        <w:rPr>
          <w:sz w:val="20"/>
          <w:szCs w:val="23"/>
        </w:rPr>
        <w:t>ελληνικού δημοσίου</w:t>
      </w:r>
      <w:r w:rsidRPr="00991AC8">
        <w:rPr>
          <w:sz w:val="20"/>
          <w:szCs w:val="23"/>
        </w:rPr>
        <w:t xml:space="preserve"> </w:t>
      </w:r>
      <w:r>
        <w:rPr>
          <w:sz w:val="20"/>
          <w:szCs w:val="23"/>
        </w:rPr>
        <w:t>(</w:t>
      </w:r>
      <w:r w:rsidRPr="00991AC8">
        <w:rPr>
          <w:sz w:val="20"/>
          <w:szCs w:val="23"/>
          <w:lang w:val="en-US"/>
        </w:rPr>
        <w:t>apografi</w:t>
      </w:r>
      <w:r w:rsidRPr="00991AC8">
        <w:rPr>
          <w:sz w:val="20"/>
          <w:szCs w:val="23"/>
        </w:rPr>
        <w:t>.</w:t>
      </w:r>
      <w:r w:rsidRPr="00991AC8">
        <w:rPr>
          <w:sz w:val="20"/>
          <w:szCs w:val="23"/>
          <w:lang w:val="en-US"/>
        </w:rPr>
        <w:t>gov</w:t>
      </w:r>
      <w:r w:rsidRPr="00991AC8">
        <w:rPr>
          <w:sz w:val="20"/>
          <w:szCs w:val="23"/>
        </w:rPr>
        <w:t>.</w:t>
      </w:r>
      <w:r w:rsidRPr="00991AC8">
        <w:rPr>
          <w:sz w:val="20"/>
          <w:szCs w:val="23"/>
          <w:lang w:val="en-US"/>
        </w:rPr>
        <w:t>gr</w:t>
      </w:r>
      <w:r>
        <w:rPr>
          <w:sz w:val="20"/>
          <w:szCs w:val="23"/>
        </w:rPr>
        <w:t xml:space="preserve">, </w:t>
      </w:r>
      <w:r w:rsidRPr="00991AC8">
        <w:rPr>
          <w:sz w:val="20"/>
          <w:szCs w:val="23"/>
        </w:rPr>
        <w:t>πρόσβαση: 6 Δεκεμβρίου 2017</w:t>
      </w:r>
      <w:r>
        <w:rPr>
          <w:sz w:val="20"/>
          <w:szCs w:val="23"/>
        </w:rPr>
        <w:t>). *</w:t>
      </w:r>
      <w:r w:rsidRPr="004A56A9">
        <w:rPr>
          <w:sz w:val="20"/>
          <w:szCs w:val="23"/>
        </w:rPr>
        <w:t xml:space="preserve"> </w:t>
      </w:r>
      <w:r>
        <w:rPr>
          <w:sz w:val="20"/>
          <w:szCs w:val="23"/>
        </w:rPr>
        <w:t>Στοιχεία έως Οκτ. 2017.</w:t>
      </w:r>
      <w:r w:rsidRPr="00991AC8">
        <w:rPr>
          <w:sz w:val="20"/>
          <w:szCs w:val="23"/>
        </w:rPr>
        <w:t xml:space="preserve"> </w:t>
      </w:r>
    </w:p>
    <w:p w:rsidR="0068108F" w:rsidRPr="001A2D93" w:rsidRDefault="0068108F" w:rsidP="00036B8A">
      <w:pPr>
        <w:rPr>
          <w:szCs w:val="23"/>
        </w:rPr>
      </w:pPr>
    </w:p>
    <w:p w:rsidR="0068108F" w:rsidRPr="00CD693F" w:rsidRDefault="0068108F" w:rsidP="00040724">
      <w:pPr>
        <w:rPr>
          <w:sz w:val="18"/>
        </w:rPr>
      </w:pPr>
    </w:p>
    <w:p w:rsidR="0068108F" w:rsidRDefault="0068108F" w:rsidP="006E3320">
      <w:pPr>
        <w:pStyle w:val="Heading1"/>
        <w:numPr>
          <w:ilvl w:val="0"/>
          <w:numId w:val="0"/>
        </w:numPr>
      </w:pPr>
      <w:bookmarkStart w:id="17" w:name="_Toc360804363"/>
      <w:bookmarkStart w:id="18" w:name="_Toc501397094"/>
      <w:r>
        <w:t xml:space="preserve">5. </w:t>
      </w:r>
      <w:bookmarkEnd w:id="17"/>
      <w:r>
        <w:t>Κριτική προσέγγιση: μπορεί η προσφορά εργασίας να προσδιορίζει τη ζήτησή της;</w:t>
      </w:r>
      <w:bookmarkEnd w:id="18"/>
    </w:p>
    <w:p w:rsidR="0068108F" w:rsidRDefault="0068108F" w:rsidP="006D364B">
      <w:pPr>
        <w:rPr>
          <w:sz w:val="22"/>
        </w:rPr>
      </w:pPr>
      <w:r>
        <w:rPr>
          <w:sz w:val="22"/>
        </w:rPr>
        <w:t>Η πολιτική επιλογής ανθρώπινου δυναμικού στη δημόσια διοίκηση κατά την περίοδο 1951-20</w:t>
      </w:r>
      <w:r w:rsidRPr="003926A6">
        <w:rPr>
          <w:sz w:val="22"/>
        </w:rPr>
        <w:t>17</w:t>
      </w:r>
      <w:r>
        <w:rPr>
          <w:sz w:val="22"/>
        </w:rPr>
        <w:t xml:space="preserve">, διακρίνεται από υψηλή μεταβλητότητα και έλλειψη τυποποίησης (Σωτηρόπουλος, 2001, σ. 16). Επίσης, ως βασικά </w:t>
      </w:r>
      <w:r w:rsidRPr="00FC7C83">
        <w:rPr>
          <w:sz w:val="22"/>
        </w:rPr>
        <w:t>χαρακτηριστικά τ</w:t>
      </w:r>
      <w:r>
        <w:rPr>
          <w:sz w:val="22"/>
        </w:rPr>
        <w:t>η</w:t>
      </w:r>
      <w:r w:rsidRPr="00FC7C83">
        <w:rPr>
          <w:sz w:val="22"/>
        </w:rPr>
        <w:t>ς αναδεικνύονται ο συγκεντρωτισμός των αποφάσεων,</w:t>
      </w:r>
      <w:r>
        <w:rPr>
          <w:sz w:val="22"/>
        </w:rPr>
        <w:t xml:space="preserve"> η ομοιομορφία των κανόνων και </w:t>
      </w:r>
      <w:r w:rsidRPr="00FC7C83">
        <w:rPr>
          <w:sz w:val="22"/>
        </w:rPr>
        <w:t>το</w:t>
      </w:r>
      <w:r>
        <w:rPr>
          <w:sz w:val="22"/>
        </w:rPr>
        <w:t xml:space="preserve"> </w:t>
      </w:r>
      <w:r w:rsidRPr="00FC7C83">
        <w:rPr>
          <w:sz w:val="22"/>
        </w:rPr>
        <w:t xml:space="preserve">–ενίοτε λεπτομερέστατο– περιεχόμενό </w:t>
      </w:r>
      <w:r>
        <w:rPr>
          <w:sz w:val="22"/>
        </w:rPr>
        <w:t>τους</w:t>
      </w:r>
      <w:r>
        <w:rPr>
          <w:rStyle w:val="FootnoteReference"/>
          <w:sz w:val="22"/>
        </w:rPr>
        <w:footnoteReference w:id="67"/>
      </w:r>
      <w:r>
        <w:rPr>
          <w:sz w:val="22"/>
        </w:rPr>
        <w:t xml:space="preserve">. </w:t>
      </w:r>
    </w:p>
    <w:p w:rsidR="0068108F" w:rsidRDefault="0068108F" w:rsidP="006D364B">
      <w:pPr>
        <w:rPr>
          <w:sz w:val="22"/>
        </w:rPr>
      </w:pPr>
    </w:p>
    <w:p w:rsidR="0068108F" w:rsidRDefault="0068108F" w:rsidP="006D364B">
      <w:pPr>
        <w:rPr>
          <w:sz w:val="22"/>
        </w:rPr>
      </w:pPr>
      <w:r>
        <w:rPr>
          <w:sz w:val="22"/>
        </w:rPr>
        <w:t>Περαιτέρω, η πολιτική εμφανίζεται να υπακούει σε ένα εγγενές π</w:t>
      </w:r>
      <w:r w:rsidRPr="006A6F1A">
        <w:rPr>
          <w:sz w:val="22"/>
        </w:rPr>
        <w:t xml:space="preserve">αράδοξο: </w:t>
      </w:r>
      <w:r>
        <w:rPr>
          <w:sz w:val="22"/>
        </w:rPr>
        <w:t>οι δυνάμεις της</w:t>
      </w:r>
      <w:r w:rsidRPr="006A6F1A">
        <w:rPr>
          <w:sz w:val="22"/>
        </w:rPr>
        <w:t xml:space="preserve"> προσφορά</w:t>
      </w:r>
      <w:r>
        <w:rPr>
          <w:sz w:val="22"/>
        </w:rPr>
        <w:t>ς</w:t>
      </w:r>
      <w:r w:rsidRPr="006A6F1A">
        <w:rPr>
          <w:sz w:val="22"/>
        </w:rPr>
        <w:t xml:space="preserve"> εργασία</w:t>
      </w:r>
      <w:r>
        <w:rPr>
          <w:sz w:val="22"/>
        </w:rPr>
        <w:t>ς</w:t>
      </w:r>
      <w:r w:rsidRPr="006A6F1A">
        <w:rPr>
          <w:sz w:val="22"/>
        </w:rPr>
        <w:t xml:space="preserve"> </w:t>
      </w:r>
      <w:r>
        <w:rPr>
          <w:sz w:val="22"/>
        </w:rPr>
        <w:t>καταφέρνουν να προσδιορίζουν σε μεγάλο βαθμό τη ζήτησή της, διαμέσω πρακτικών παράκαμψης των επίσημων θεσμών και διαδικασιών επιλογής, αφήνοντας συχνά τις αμιγώς οργανωσιακές ανάγκες να υπολείπονται σε σημαντικότητα</w:t>
      </w:r>
      <w:r>
        <w:rPr>
          <w:rStyle w:val="FootnoteReference"/>
          <w:sz w:val="22"/>
        </w:rPr>
        <w:footnoteReference w:id="68"/>
      </w:r>
      <w:r>
        <w:rPr>
          <w:sz w:val="22"/>
        </w:rPr>
        <w:t>. Το δε σημείο ισορροπίας της αγοράς εργασίας του δημοσίου μετακινείται επεκτατικά, όχι με αποκλειστικό κριτήριο την οργανωσιακή πραγματικότητα των υπηρεσιών, αλλά υποκείμενο σε άτυπες πιέσεις δρώντων (Τσέκος, 2012, σ. 82)</w:t>
      </w:r>
      <w:r>
        <w:rPr>
          <w:rStyle w:val="FootnoteReference"/>
          <w:sz w:val="22"/>
        </w:rPr>
        <w:footnoteReference w:id="69"/>
      </w:r>
      <w:r>
        <w:rPr>
          <w:sz w:val="22"/>
        </w:rPr>
        <w:t>. Συνολικά, ζητήματα αποδοτικότητας αναφορικά με τις πολιτικές επιλογής προσωπικού τοποθετούνται στο περιθώριο (</w:t>
      </w:r>
      <w:r>
        <w:rPr>
          <w:sz w:val="22"/>
          <w:lang w:val="en-US"/>
        </w:rPr>
        <w:t>Spanou</w:t>
      </w:r>
      <w:r w:rsidRPr="003926A6">
        <w:rPr>
          <w:sz w:val="22"/>
        </w:rPr>
        <w:t xml:space="preserve">, 2012, </w:t>
      </w:r>
      <w:r>
        <w:rPr>
          <w:sz w:val="22"/>
        </w:rPr>
        <w:t>σ. 181). Έτσι, δημιουργούνται ισχυρές ενδείξεις περιορισμένης κατανεμητικής και παραγωγικής αποτελεσματικότητας του ανθρώπινου δυναμικού. Επιπλέον, εργαλεία για την αναζήτηση του μεγέθους της «βέλτιστης πρόσληψης» δεν προκύπτει ότι υιοθετούνται κατά το στάδιο της διαμόρφωσης της πολιτικής για την επιλογή προσωπικού</w:t>
      </w:r>
      <w:r>
        <w:rPr>
          <w:rStyle w:val="FootnoteReference"/>
          <w:sz w:val="22"/>
        </w:rPr>
        <w:footnoteReference w:id="70"/>
      </w:r>
      <w:r>
        <w:rPr>
          <w:sz w:val="22"/>
        </w:rPr>
        <w:t xml:space="preserve">. </w:t>
      </w:r>
    </w:p>
    <w:p w:rsidR="0068108F" w:rsidRDefault="0068108F" w:rsidP="006D364B">
      <w:pPr>
        <w:rPr>
          <w:sz w:val="22"/>
        </w:rPr>
      </w:pPr>
    </w:p>
    <w:p w:rsidR="0068108F" w:rsidRDefault="0068108F" w:rsidP="006D364B">
      <w:pPr>
        <w:rPr>
          <w:sz w:val="22"/>
        </w:rPr>
      </w:pPr>
      <w:r>
        <w:rPr>
          <w:sz w:val="22"/>
        </w:rPr>
        <w:t>Παράλληλα με την ύπαρξη τυπικών διαδικασιών και θεσμών επιλογής, υφίσταται και ένας παράπλευρος μηχανισμός εισόδου</w:t>
      </w:r>
      <w:r>
        <w:rPr>
          <w:rStyle w:val="FootnoteReference"/>
          <w:sz w:val="22"/>
        </w:rPr>
        <w:footnoteReference w:id="71"/>
      </w:r>
      <w:r>
        <w:rPr>
          <w:sz w:val="22"/>
        </w:rPr>
        <w:t xml:space="preserve"> στη δημοσιοϋπαλληλία. Η εν λόγω διάσταση αναπαράγεται ανθεκτικά με την επίκληση ανελαστικών/δυσλειτουργικών διαδικασιών επιλογής των επίσημων θεσμών που χρήζουν εξορθολογισμού και υλοποιείται, αφ’ ενός, με κριτήρια «</w:t>
      </w:r>
      <w:r w:rsidRPr="00547164">
        <w:rPr>
          <w:sz w:val="22"/>
        </w:rPr>
        <w:t>θεσμοποιημένης μεροληψίας</w:t>
      </w:r>
      <w:r>
        <w:rPr>
          <w:sz w:val="22"/>
        </w:rPr>
        <w:t>» (Σπανού, 1995, σ. 83) και, αφ’ ετέρου, με σύναψη συμβάσεων ιδιωτικού δικαίου, οι οποίες μεταγενέστερα μετατρέπονται σε «μόνιμες» θέσεις προσωπικού</w:t>
      </w:r>
      <w:r>
        <w:rPr>
          <w:rStyle w:val="FootnoteReference"/>
          <w:sz w:val="22"/>
        </w:rPr>
        <w:footnoteReference w:id="72"/>
      </w:r>
      <w:r>
        <w:rPr>
          <w:sz w:val="22"/>
        </w:rPr>
        <w:t>. Η διαδικασία επιλογής προσωπικού για επείγουσες ή άλλες ειδικές περιπτώσεις μπορεί να έχει αυτοτελή εσωτερική λογική που να ερείδεται π.χ. στην ανάγκη αντιμετώπισης έκτακτων αναγκών. Εν τούτοις, η πρακτική των μετατροπών συμβάσεων παρακάμπτοντας τυπικούς θεσμούς εμφανίζεται να «</w:t>
      </w:r>
      <w:r w:rsidRPr="00547164">
        <w:rPr>
          <w:sz w:val="22"/>
        </w:rPr>
        <w:t>αντίκειται ή να καταστρατηγεί την αρχή της ισότητας των Ελλήνων πολιτών για την είσοδό τους στις διοικητικές Υπηρεσίες</w:t>
      </w:r>
      <w:r>
        <w:rPr>
          <w:sz w:val="22"/>
        </w:rPr>
        <w:t>»</w:t>
      </w:r>
      <w:r w:rsidRPr="00547164">
        <w:t xml:space="preserve"> </w:t>
      </w:r>
      <w:r>
        <w:t>(</w:t>
      </w:r>
      <w:r w:rsidRPr="00547164">
        <w:rPr>
          <w:sz w:val="22"/>
        </w:rPr>
        <w:t xml:space="preserve">Σκουρής </w:t>
      </w:r>
      <w:r>
        <w:rPr>
          <w:sz w:val="22"/>
        </w:rPr>
        <w:t xml:space="preserve">&amp; Τάχος, </w:t>
      </w:r>
      <w:r w:rsidRPr="00547164">
        <w:rPr>
          <w:sz w:val="22"/>
        </w:rPr>
        <w:t>1985</w:t>
      </w:r>
      <w:r>
        <w:rPr>
          <w:sz w:val="22"/>
        </w:rPr>
        <w:t xml:space="preserve">, σσ. 65-66). Στο σχήμα 1 συνοψίζεται και απεικονίζεται συνολικά η παράλληλη  και αντιφατική υπόσταση των τυπικών και άτυπων θεσμών επιλογής. </w:t>
      </w:r>
    </w:p>
    <w:p w:rsidR="0068108F" w:rsidRDefault="0068108F" w:rsidP="001516B4">
      <w:pPr>
        <w:ind w:firstLine="720"/>
        <w:rPr>
          <w:sz w:val="22"/>
        </w:rPr>
      </w:pPr>
    </w:p>
    <w:p w:rsidR="0068108F" w:rsidRPr="00AF4904" w:rsidRDefault="0068108F" w:rsidP="00EA0AA8">
      <w:pPr>
        <w:pStyle w:val="Caption"/>
        <w:keepNext/>
        <w:jc w:val="center"/>
      </w:pPr>
      <w:r w:rsidRPr="00AF4904">
        <w:t xml:space="preserve">Σχήμα </w:t>
      </w:r>
      <w:fldSimple w:instr=" SEQ Σχήμα \* ARABIC ">
        <w:r>
          <w:rPr>
            <w:noProof/>
          </w:rPr>
          <w:t>1</w:t>
        </w:r>
      </w:fldSimple>
      <w:r w:rsidRPr="00AF4904">
        <w:t xml:space="preserve">: Τυπικοί και άτυποι θεσμοί επιλογής </w:t>
      </w:r>
      <w:r>
        <w:t>ανθρώπινου δυναμικού</w:t>
      </w:r>
      <w:r w:rsidRPr="00AF4904">
        <w:t>.</w:t>
      </w:r>
    </w:p>
    <w:p w:rsidR="0068108F" w:rsidRDefault="0068108F" w:rsidP="00336FE0">
      <w:pPr>
        <w:keepNext/>
        <w:jc w:val="center"/>
      </w:pPr>
      <w:r w:rsidRPr="00CA1B95">
        <w:rPr>
          <w:noProof/>
          <w:lang w:val="en-US"/>
        </w:rPr>
        <w:pict>
          <v:shape id="Εικόνα 2" o:spid="_x0000_i1028" type="#_x0000_t75" style="width:317.25pt;height:159pt;visibility:visible">
            <v:imagedata r:id="rId10" o:title=""/>
          </v:shape>
        </w:pict>
      </w:r>
    </w:p>
    <w:p w:rsidR="0068108F" w:rsidRPr="00AF4904" w:rsidRDefault="0068108F" w:rsidP="00EA0AA8">
      <w:pPr>
        <w:pStyle w:val="Caption"/>
        <w:ind w:firstLine="851"/>
        <w:rPr>
          <w:b w:val="0"/>
          <w:sz w:val="22"/>
        </w:rPr>
      </w:pPr>
      <w:r>
        <w:rPr>
          <w:b w:val="0"/>
        </w:rPr>
        <w:t xml:space="preserve">       </w:t>
      </w:r>
      <w:r w:rsidRPr="00AF4904">
        <w:rPr>
          <w:b w:val="0"/>
        </w:rPr>
        <w:t>Πηγή: Επεξεργασία συγγραφέα.</w:t>
      </w:r>
    </w:p>
    <w:p w:rsidR="0068108F" w:rsidRDefault="0068108F" w:rsidP="001516B4">
      <w:pPr>
        <w:ind w:firstLine="720"/>
        <w:rPr>
          <w:sz w:val="22"/>
        </w:rPr>
      </w:pPr>
    </w:p>
    <w:p w:rsidR="0068108F" w:rsidRDefault="0068108F" w:rsidP="006D364B">
      <w:pPr>
        <w:rPr>
          <w:sz w:val="22"/>
        </w:rPr>
      </w:pPr>
      <w:r>
        <w:rPr>
          <w:sz w:val="22"/>
        </w:rPr>
        <w:t>Περαιτέρω</w:t>
      </w:r>
      <w:r w:rsidRPr="00B27A68">
        <w:rPr>
          <w:sz w:val="22"/>
        </w:rPr>
        <w:t xml:space="preserve">, η επιλογή προσωπικού εκτός </w:t>
      </w:r>
      <w:r>
        <w:rPr>
          <w:sz w:val="22"/>
        </w:rPr>
        <w:t>αξιοκρατικού</w:t>
      </w:r>
      <w:r w:rsidRPr="00B27A68">
        <w:rPr>
          <w:sz w:val="22"/>
        </w:rPr>
        <w:t xml:space="preserve"> πλαισίου, </w:t>
      </w:r>
      <w:r>
        <w:rPr>
          <w:sz w:val="22"/>
        </w:rPr>
        <w:t>παρέχει ενδείξεις αρνητικής συνδρομής</w:t>
      </w:r>
      <w:r w:rsidRPr="00B27A68">
        <w:rPr>
          <w:sz w:val="22"/>
        </w:rPr>
        <w:t xml:space="preserve"> στην </w:t>
      </w:r>
      <w:r>
        <w:rPr>
          <w:sz w:val="22"/>
        </w:rPr>
        <w:t xml:space="preserve">εσωτερική </w:t>
      </w:r>
      <w:r w:rsidRPr="00B27A68">
        <w:rPr>
          <w:sz w:val="22"/>
        </w:rPr>
        <w:t xml:space="preserve">ποιότητα </w:t>
      </w:r>
      <w:r>
        <w:rPr>
          <w:sz w:val="22"/>
        </w:rPr>
        <w:t xml:space="preserve">και το ήθος </w:t>
      </w:r>
      <w:r w:rsidRPr="00B27A68">
        <w:rPr>
          <w:sz w:val="22"/>
        </w:rPr>
        <w:t xml:space="preserve">της δημοσιοϋπαλληλίας. Κατ’ εφαρμογή του </w:t>
      </w:r>
      <w:r>
        <w:rPr>
          <w:sz w:val="22"/>
        </w:rPr>
        <w:t>«</w:t>
      </w:r>
      <w:r w:rsidRPr="00B27A68">
        <w:rPr>
          <w:sz w:val="22"/>
        </w:rPr>
        <w:t>νόμου του Gresham</w:t>
      </w:r>
      <w:r>
        <w:rPr>
          <w:sz w:val="22"/>
        </w:rPr>
        <w:t>»</w:t>
      </w:r>
      <w:r w:rsidRPr="00B27A68">
        <w:rPr>
          <w:rStyle w:val="FootnoteReference"/>
          <w:sz w:val="22"/>
        </w:rPr>
        <w:footnoteReference w:id="73"/>
      </w:r>
      <w:r w:rsidRPr="00B27A68">
        <w:rPr>
          <w:sz w:val="22"/>
        </w:rPr>
        <w:t xml:space="preserve"> στο οργανωσιακό πεδίο, το περιορισμένο αξιοκρατικό ήθος εντός της δημοσιοϋπαλληλίας εκτοπί</w:t>
      </w:r>
      <w:r>
        <w:rPr>
          <w:sz w:val="22"/>
        </w:rPr>
        <w:t>ζ</w:t>
      </w:r>
      <w:r w:rsidRPr="00B27A68">
        <w:rPr>
          <w:sz w:val="22"/>
        </w:rPr>
        <w:t xml:space="preserve">ει </w:t>
      </w:r>
      <w:r>
        <w:rPr>
          <w:sz w:val="22"/>
        </w:rPr>
        <w:t>το</w:t>
      </w:r>
      <w:r w:rsidRPr="00B27A68">
        <w:rPr>
          <w:sz w:val="22"/>
        </w:rPr>
        <w:t xml:space="preserve"> υψηλ</w:t>
      </w:r>
      <w:r>
        <w:rPr>
          <w:sz w:val="22"/>
        </w:rPr>
        <w:t>ό</w:t>
      </w:r>
      <w:r w:rsidRPr="00B27A68">
        <w:rPr>
          <w:sz w:val="22"/>
        </w:rPr>
        <w:t xml:space="preserve"> </w:t>
      </w:r>
      <w:r>
        <w:rPr>
          <w:sz w:val="22"/>
        </w:rPr>
        <w:t>αξιοκρατικό ήθο</w:t>
      </w:r>
      <w:r w:rsidRPr="00B27A68">
        <w:rPr>
          <w:sz w:val="22"/>
        </w:rPr>
        <w:t>ς</w:t>
      </w:r>
      <w:r>
        <w:rPr>
          <w:sz w:val="22"/>
        </w:rPr>
        <w:t>. Τελικά, το αποτέλεσμα του βαθμού εξυπηρέτησης των δημόσιων πολιτικών, σε όλα τα επιμέρους στάδιά τους από τη διαμόρφωσή τους μέχρι και τον τελικό έλεγχο για συνέχιση ή οριστική παύση, μπορεί να ερμηνευθεί (και) από τον τρόπο στελέχωσης των δημοσίων υπηρεσιών. Πάντως, το εύρημα της προοδευτικής αύξησης του μεριδίου του προσωπικού που έχει προσληφθεί μέσω Α.Σ.Ε.Π. επί του συνόλου του ανθρώπινου δυναμικού του ελληνικού δημοσίου είναι, κατ’ αρχάς, ενθαρρυντικό, ιδίως εφ’ όσον συνεχιστεί η εν λόγω τάση και στο μέλλον.</w:t>
      </w:r>
    </w:p>
    <w:p w:rsidR="0068108F" w:rsidRDefault="0068108F" w:rsidP="00E34CFC">
      <w:pPr>
        <w:rPr>
          <w:sz w:val="22"/>
        </w:rPr>
      </w:pPr>
    </w:p>
    <w:p w:rsidR="0068108F" w:rsidRDefault="0068108F" w:rsidP="006E3320">
      <w:pPr>
        <w:pStyle w:val="Heading1"/>
        <w:numPr>
          <w:ilvl w:val="0"/>
          <w:numId w:val="0"/>
        </w:numPr>
      </w:pPr>
      <w:bookmarkStart w:id="19" w:name="_Toc360804364"/>
      <w:bookmarkStart w:id="20" w:name="_Toc501397095"/>
      <w:r>
        <w:t>6. Συμπεράσματα</w:t>
      </w:r>
      <w:bookmarkEnd w:id="19"/>
      <w:bookmarkEnd w:id="20"/>
    </w:p>
    <w:p w:rsidR="0068108F" w:rsidRDefault="0068108F" w:rsidP="006D364B">
      <w:pPr>
        <w:rPr>
          <w:sz w:val="22"/>
        </w:rPr>
      </w:pPr>
      <w:r>
        <w:rPr>
          <w:sz w:val="22"/>
        </w:rPr>
        <w:t xml:space="preserve">Η πολιτική επιλογής ανθρώπινου δυναμικού στις δημόσιες υπηρεσίες κατά την περίοδο 1951-2017 δεν ακολούθησε πιστά το διαχρονικό αιτούμενο της αξιοκρατικής πρόσληψης, ενώ περιέχει ισχυρές ενδείξεις αναποτελεσματικότητας. Ως συνέπεια, η συγκρότηση επαγγελματικής δημοσιοϋπαλληλίας στην Ελλάδα, με βάση το βεμπεριανό υπόδειγμα, εμφανίζεται ατελής. </w:t>
      </w:r>
    </w:p>
    <w:p w:rsidR="0068108F" w:rsidRDefault="0068108F" w:rsidP="006D364B">
      <w:pPr>
        <w:rPr>
          <w:sz w:val="22"/>
        </w:rPr>
      </w:pPr>
    </w:p>
    <w:p w:rsidR="0068108F" w:rsidRDefault="0068108F" w:rsidP="006D364B">
      <w:pPr>
        <w:rPr>
          <w:sz w:val="22"/>
        </w:rPr>
      </w:pPr>
      <w:r>
        <w:rPr>
          <w:sz w:val="22"/>
        </w:rPr>
        <w:t xml:space="preserve">Ο συγκεντρωτισμός των διαδικασιών, η λεπτομερειακή υπερ-ρύθμιση, η αποδόμηση της ισχύος τυπικών θεσμών και η ανθεκτική αναπαραγωγή φυγόκεντρων τάσεων και άτυπων πρακτικών επιλογής, εμφανίζουν διαχρονικά χαρακτηριστικά συνέχειας. Το ίδιο ισχύει και για όσες εξαιρέσεις από αξιοκρατικές διαδικασίες μετασχημάτιζαν την προσωρινότητα σε μονιμότητα απασχόλησης. Παράλληλα, εντοπίζονται και στοιχεία ασυνέχειας, όπως η διαφοροποίηση του μείγματος των διαδικασιών επιλογής, καθώς και η μεταβολή των κύριων θεσμών επιλογής προσωπικού (Α.Σ.Δ.Υ., Γ.Γ.Δ.Δ., Α.Σ.Ε.Π.) με αντανάκλαση στο βαθμό ανεξαρτησίας τους. </w:t>
      </w:r>
    </w:p>
    <w:p w:rsidR="0068108F" w:rsidRDefault="0068108F" w:rsidP="006D364B">
      <w:pPr>
        <w:rPr>
          <w:sz w:val="22"/>
        </w:rPr>
      </w:pPr>
    </w:p>
    <w:p w:rsidR="0068108F" w:rsidRDefault="0068108F" w:rsidP="006D364B">
      <w:pPr>
        <w:rPr>
          <w:sz w:val="22"/>
        </w:rPr>
      </w:pPr>
      <w:r>
        <w:rPr>
          <w:sz w:val="22"/>
        </w:rPr>
        <w:t>Η θεσμοθέτηση του Α.Σ.Ε.Π. το 1994 και η ενίσχυσή του το 2009 αποτελούν κομβικά σημεία αλλαγής, με ενδείξεις, αρχικά, θετικής συμβολής στην εμπέδωση και επέκταση της αξιοκρατικής κουλτούρας, καθώς και βελτίωσης της αποτελεσματικότητας της πολιτικής προσλήψεων με κατανεμητικούς και παραγωγικούς όρους για τις δημόσιες υπηρεσίες. Συναφώς, με ποσοτικούς όρους το μερίδιο του προσωπικού που έχει προσληφθεί μέσω Α.Σ.Ε.Π. προοδευτικά μεγεθύνεται. Εν τούτοις, στο βαθμό που δεν εξαλείφονται άτυπες πρακτικές πρόκρισης ιδιοτελών προτιμήσεων, νομιμοποιούμενες δια μέσω χρήσης επίσημων διαδικασιών, ακόμη και αυτοτελείς προσπάθειες βελτίωσης του θεσμικού ρόλου του Α.Σ.Ε.Π. εκτιμάται ότι δε θα υποστηρίζουν σθεναρά την αξιοκρατική αναβάθμιση της πολιτικής προσλήψεων ανθρώπινου δυναμικού. Η περαιτέρω έρευνα προς την κατεύθυνση της αναζήτησης ποιοτικών και ποσοτικών χαρακτηριστικών του ανθρώπινου δυναμικού που απασχολείται στο δημόσιο –συμπεριλαμβάνοντας κάθε πιθανό τρόπο πρόσληψής του– εκτιμάται ότι μπορεί να συνεισφέρει εποικοδομητικά, ανατροφοδοτώντας το περιεχόμενο της δημόσιας πολιτικής.</w:t>
      </w:r>
    </w:p>
    <w:p w:rsidR="0068108F" w:rsidRDefault="0068108F" w:rsidP="006D364B">
      <w:pPr>
        <w:rPr>
          <w:sz w:val="22"/>
        </w:rPr>
      </w:pPr>
    </w:p>
    <w:p w:rsidR="0068108F" w:rsidRDefault="0068108F" w:rsidP="006D364B">
      <w:pPr>
        <w:rPr>
          <w:sz w:val="22"/>
        </w:rPr>
      </w:pPr>
    </w:p>
    <w:p w:rsidR="0068108F" w:rsidRDefault="0068108F">
      <w:pPr>
        <w:spacing w:line="300" w:lineRule="auto"/>
        <w:rPr>
          <w:b/>
          <w:bCs/>
          <w:sz w:val="22"/>
        </w:rPr>
      </w:pPr>
      <w:r>
        <w:br w:type="page"/>
      </w:r>
    </w:p>
    <w:p w:rsidR="0068108F" w:rsidRPr="00841D2F" w:rsidRDefault="0068108F" w:rsidP="004C37A2">
      <w:pPr>
        <w:pStyle w:val="Heading1"/>
        <w:numPr>
          <w:ilvl w:val="0"/>
          <w:numId w:val="0"/>
        </w:numPr>
      </w:pPr>
      <w:bookmarkStart w:id="21" w:name="_Toc501397096"/>
      <w:r>
        <w:t>Βιβλιογραφικές</w:t>
      </w:r>
      <w:r w:rsidRPr="00841D2F">
        <w:t xml:space="preserve"> </w:t>
      </w:r>
      <w:r>
        <w:t>αναφορές</w:t>
      </w:r>
      <w:bookmarkEnd w:id="21"/>
    </w:p>
    <w:p w:rsidR="0068108F" w:rsidRPr="00195735" w:rsidRDefault="0068108F" w:rsidP="00C12D03">
      <w:pPr>
        <w:ind w:left="567" w:hanging="567"/>
        <w:rPr>
          <w:b/>
          <w:sz w:val="22"/>
        </w:rPr>
      </w:pPr>
      <w:r w:rsidRPr="00195735">
        <w:rPr>
          <w:b/>
          <w:sz w:val="22"/>
        </w:rPr>
        <w:t>Ελληνική</w:t>
      </w:r>
    </w:p>
    <w:p w:rsidR="0068108F" w:rsidRPr="00195735" w:rsidRDefault="0068108F" w:rsidP="00C12D03">
      <w:pPr>
        <w:ind w:left="567" w:hanging="567"/>
        <w:rPr>
          <w:sz w:val="22"/>
        </w:rPr>
      </w:pPr>
      <w:r w:rsidRPr="00C12D03">
        <w:rPr>
          <w:sz w:val="22"/>
        </w:rPr>
        <w:t xml:space="preserve">Α.Σ.Ε.Π. </w:t>
      </w:r>
      <w:r w:rsidRPr="00195735">
        <w:rPr>
          <w:sz w:val="22"/>
        </w:rPr>
        <w:t>(2004)</w:t>
      </w:r>
      <w:r>
        <w:rPr>
          <w:sz w:val="22"/>
        </w:rPr>
        <w:t>,</w:t>
      </w:r>
      <w:r w:rsidRPr="00195735">
        <w:rPr>
          <w:sz w:val="22"/>
        </w:rPr>
        <w:t xml:space="preserve"> </w:t>
      </w:r>
      <w:r w:rsidRPr="00C12D03">
        <w:rPr>
          <w:sz w:val="22"/>
        </w:rPr>
        <w:t xml:space="preserve">Ετήσια Έκθεση </w:t>
      </w:r>
      <w:r w:rsidRPr="00195735">
        <w:rPr>
          <w:sz w:val="22"/>
        </w:rPr>
        <w:t>2003</w:t>
      </w:r>
      <w:r>
        <w:rPr>
          <w:sz w:val="22"/>
        </w:rPr>
        <w:t>, Αθήνα.</w:t>
      </w:r>
    </w:p>
    <w:p w:rsidR="0068108F" w:rsidRPr="00195735" w:rsidRDefault="0068108F" w:rsidP="00D55D63">
      <w:pPr>
        <w:ind w:left="567" w:hanging="567"/>
        <w:rPr>
          <w:sz w:val="22"/>
        </w:rPr>
      </w:pPr>
      <w:r w:rsidRPr="00C12D03">
        <w:rPr>
          <w:sz w:val="22"/>
        </w:rPr>
        <w:t xml:space="preserve">Α.Σ.Ε.Π. </w:t>
      </w:r>
      <w:r w:rsidRPr="00195735">
        <w:rPr>
          <w:sz w:val="22"/>
        </w:rPr>
        <w:t>(20</w:t>
      </w:r>
      <w:r>
        <w:rPr>
          <w:sz w:val="22"/>
        </w:rPr>
        <w:t>09</w:t>
      </w:r>
      <w:r w:rsidRPr="00195735">
        <w:rPr>
          <w:sz w:val="22"/>
        </w:rPr>
        <w:t>)</w:t>
      </w:r>
      <w:r>
        <w:rPr>
          <w:sz w:val="22"/>
        </w:rPr>
        <w:t>,</w:t>
      </w:r>
      <w:r w:rsidRPr="00195735">
        <w:rPr>
          <w:sz w:val="22"/>
        </w:rPr>
        <w:t xml:space="preserve"> </w:t>
      </w:r>
      <w:r w:rsidRPr="00C12D03">
        <w:rPr>
          <w:sz w:val="22"/>
        </w:rPr>
        <w:t xml:space="preserve">Ετήσια Έκθεση </w:t>
      </w:r>
      <w:r>
        <w:rPr>
          <w:sz w:val="22"/>
        </w:rPr>
        <w:t>2008, Αθήνα.</w:t>
      </w:r>
    </w:p>
    <w:p w:rsidR="0068108F" w:rsidRDefault="0068108F" w:rsidP="009A7E06">
      <w:pPr>
        <w:ind w:left="567" w:hanging="567"/>
        <w:rPr>
          <w:sz w:val="22"/>
        </w:rPr>
      </w:pPr>
      <w:r w:rsidRPr="00C12D03">
        <w:rPr>
          <w:sz w:val="22"/>
        </w:rPr>
        <w:t xml:space="preserve">Α.Σ.Ε.Π. </w:t>
      </w:r>
      <w:r w:rsidRPr="00195735">
        <w:rPr>
          <w:sz w:val="22"/>
        </w:rPr>
        <w:t>(2016)</w:t>
      </w:r>
      <w:r>
        <w:rPr>
          <w:sz w:val="22"/>
        </w:rPr>
        <w:t>,</w:t>
      </w:r>
      <w:r w:rsidRPr="00195735">
        <w:rPr>
          <w:sz w:val="22"/>
        </w:rPr>
        <w:t xml:space="preserve"> </w:t>
      </w:r>
      <w:r w:rsidRPr="00C12D03">
        <w:rPr>
          <w:sz w:val="22"/>
        </w:rPr>
        <w:t xml:space="preserve">Ετήσια Έκθεση </w:t>
      </w:r>
      <w:r>
        <w:rPr>
          <w:sz w:val="22"/>
        </w:rPr>
        <w:t>201</w:t>
      </w:r>
      <w:r w:rsidRPr="00195735">
        <w:rPr>
          <w:sz w:val="22"/>
        </w:rPr>
        <w:t>5</w:t>
      </w:r>
      <w:r>
        <w:rPr>
          <w:sz w:val="22"/>
        </w:rPr>
        <w:t>, Αθήνα.</w:t>
      </w:r>
    </w:p>
    <w:p w:rsidR="0068108F" w:rsidRPr="00C12D03" w:rsidRDefault="0068108F" w:rsidP="00C12D03">
      <w:pPr>
        <w:ind w:left="567" w:hanging="567"/>
        <w:rPr>
          <w:sz w:val="22"/>
        </w:rPr>
      </w:pPr>
      <w:r w:rsidRPr="00C12D03">
        <w:rPr>
          <w:sz w:val="22"/>
        </w:rPr>
        <w:t xml:space="preserve">Βαρβαρέσσος, Κ. (1952), «Η Πλημμελής Λειτουργία της Διοίκησης και η Ανάγκη Αναδιοργάνωσης Αυτής», στο: Μακρυδημήτρης Α. και Ν. Μιχαλόπουλος (επιμ.) (2000), </w:t>
      </w:r>
      <w:r w:rsidRPr="00EA0AA8">
        <w:rPr>
          <w:i/>
          <w:sz w:val="22"/>
        </w:rPr>
        <w:t>Εκθέσεις Εμπειρογνωμόνων για τη Δημόσια Διοίκηση 1950-1998</w:t>
      </w:r>
      <w:r w:rsidRPr="00C12D03">
        <w:rPr>
          <w:sz w:val="22"/>
        </w:rPr>
        <w:t>, Αθήνα: Παπαζήσης</w:t>
      </w:r>
      <w:r>
        <w:rPr>
          <w:sz w:val="22"/>
        </w:rPr>
        <w:t>, σσ. 67-91.</w:t>
      </w:r>
    </w:p>
    <w:p w:rsidR="0068108F" w:rsidRPr="00C12D03" w:rsidRDefault="0068108F" w:rsidP="00C12D03">
      <w:pPr>
        <w:ind w:left="567" w:hanging="567"/>
        <w:rPr>
          <w:sz w:val="22"/>
        </w:rPr>
      </w:pPr>
      <w:r w:rsidRPr="00C12D03">
        <w:rPr>
          <w:sz w:val="22"/>
        </w:rPr>
        <w:t>Έκθεση Επιτροπής Δεκλερή (199</w:t>
      </w:r>
      <w:r>
        <w:rPr>
          <w:sz w:val="22"/>
        </w:rPr>
        <w:t>2</w:t>
      </w:r>
      <w:r w:rsidRPr="00C12D03">
        <w:rPr>
          <w:sz w:val="22"/>
        </w:rPr>
        <w:t xml:space="preserve">), «Ελληνική Διοίκηση 2000. Πρώτο πρόγραμμα διοικητικού εκσυγχρονισμού 1992-1995», Υπουργείο Προεδρίας Κυβερνήσεως, Αθήνα: Εθνικό Τυπογραφείο, στο: Μακρυδημήτρης Α. και Ν. Μιχαλόπουλος (επιμ.) (2000), </w:t>
      </w:r>
      <w:r w:rsidRPr="00EA0AA8">
        <w:rPr>
          <w:i/>
          <w:sz w:val="22"/>
        </w:rPr>
        <w:t>Εκθέσεις Εμπειρογνωμόνων για τη Δημόσια Διοίκηση 1950-1998</w:t>
      </w:r>
      <w:r>
        <w:rPr>
          <w:sz w:val="22"/>
        </w:rPr>
        <w:t>, Αθήνα: Παπαζήσης, σσ. 659-701.</w:t>
      </w:r>
    </w:p>
    <w:p w:rsidR="0068108F" w:rsidRDefault="0068108F" w:rsidP="00C12D03">
      <w:pPr>
        <w:ind w:left="567" w:hanging="567"/>
        <w:rPr>
          <w:sz w:val="22"/>
        </w:rPr>
      </w:pPr>
      <w:r w:rsidRPr="00C12D03">
        <w:rPr>
          <w:sz w:val="22"/>
        </w:rPr>
        <w:t xml:space="preserve">Ζευγαρίδης, Σ. (1977), </w:t>
      </w:r>
      <w:r w:rsidRPr="00EA0AA8">
        <w:rPr>
          <w:i/>
          <w:sz w:val="22"/>
        </w:rPr>
        <w:t>Η Οργάνωση της Δημόσιας Διοικήσεως</w:t>
      </w:r>
      <w:r w:rsidRPr="00C12D03">
        <w:rPr>
          <w:sz w:val="22"/>
        </w:rPr>
        <w:t>, τ.Α, Αθήνα: Παπαζήσης</w:t>
      </w:r>
      <w:r>
        <w:rPr>
          <w:sz w:val="22"/>
        </w:rPr>
        <w:t>.</w:t>
      </w:r>
    </w:p>
    <w:p w:rsidR="0068108F" w:rsidRPr="00C12D03" w:rsidRDefault="0068108F" w:rsidP="00C12D03">
      <w:pPr>
        <w:ind w:left="567" w:hanging="567"/>
        <w:rPr>
          <w:sz w:val="22"/>
        </w:rPr>
      </w:pPr>
      <w:r>
        <w:rPr>
          <w:sz w:val="22"/>
        </w:rPr>
        <w:t>Langrod, G. (1964</w:t>
      </w:r>
      <w:r w:rsidRPr="00D55D63">
        <w:rPr>
          <w:sz w:val="22"/>
        </w:rPr>
        <w:t>), «Έκθεσις</w:t>
      </w:r>
      <w:r>
        <w:rPr>
          <w:sz w:val="22"/>
        </w:rPr>
        <w:t xml:space="preserve"> Αφορώσα την Διοικητικήν Αναδιο</w:t>
      </w:r>
      <w:r w:rsidRPr="00D55D63">
        <w:rPr>
          <w:sz w:val="22"/>
        </w:rPr>
        <w:t xml:space="preserve">ργάνωσιν εν Ελλάδι», στο: Μακρυδημήτρης Α. και Ν. Μιχαλόπουλος (επιμ.) (2000), </w:t>
      </w:r>
      <w:r w:rsidRPr="00D55D63">
        <w:rPr>
          <w:i/>
          <w:sz w:val="22"/>
        </w:rPr>
        <w:t>Εκθέσεις Εμπειρογνωμόνων για τη Δημόσια Διοίκηση 1950-1998</w:t>
      </w:r>
      <w:r w:rsidRPr="00D55D63">
        <w:rPr>
          <w:sz w:val="22"/>
        </w:rPr>
        <w:t>, Αθήνα: Παπαζήσης</w:t>
      </w:r>
      <w:r>
        <w:rPr>
          <w:sz w:val="22"/>
        </w:rPr>
        <w:t>, σσ. 155-279.</w:t>
      </w:r>
    </w:p>
    <w:p w:rsidR="0068108F" w:rsidRPr="00C12D03" w:rsidRDefault="0068108F" w:rsidP="00C12D03">
      <w:pPr>
        <w:ind w:left="567" w:hanging="567"/>
        <w:rPr>
          <w:sz w:val="22"/>
        </w:rPr>
      </w:pPr>
      <w:r w:rsidRPr="00C12D03">
        <w:rPr>
          <w:sz w:val="22"/>
        </w:rPr>
        <w:t>Μακρυδημήτρης, Α. (1999), Διοίκηση και Κοινωνία. Η Δημόσια Διοίκηση στην Ελλάδα, Αθήνα: Θεμέλιο.</w:t>
      </w:r>
    </w:p>
    <w:p w:rsidR="0068108F" w:rsidRPr="00C12D03" w:rsidRDefault="0068108F" w:rsidP="00C12D03">
      <w:pPr>
        <w:ind w:left="567" w:hanging="567"/>
        <w:rPr>
          <w:sz w:val="22"/>
        </w:rPr>
      </w:pPr>
      <w:r w:rsidRPr="00C12D03">
        <w:rPr>
          <w:sz w:val="22"/>
        </w:rPr>
        <w:t xml:space="preserve">Μακρυδημήτρης, Α. (2010) (συνεργασία: Μ. Η. Πραβίτα), </w:t>
      </w:r>
      <w:r w:rsidRPr="00EA0AA8">
        <w:rPr>
          <w:i/>
          <w:sz w:val="22"/>
        </w:rPr>
        <w:t xml:space="preserve">Δημόσια Διοίκηση-Στοιχεία Διοικητικής Οργάνωσης </w:t>
      </w:r>
      <w:r w:rsidRPr="00C12D03">
        <w:rPr>
          <w:sz w:val="22"/>
        </w:rPr>
        <w:t>(δ΄ εκδ.</w:t>
      </w:r>
      <w:r>
        <w:rPr>
          <w:sz w:val="22"/>
        </w:rPr>
        <w:t>), Αθήνα-Θεσσαλονίκη: Σάκκουλας</w:t>
      </w:r>
      <w:r w:rsidRPr="00C12D03">
        <w:rPr>
          <w:sz w:val="22"/>
        </w:rPr>
        <w:t>.</w:t>
      </w:r>
    </w:p>
    <w:p w:rsidR="0068108F" w:rsidRPr="00AF4904" w:rsidRDefault="0068108F" w:rsidP="00AF4904">
      <w:pPr>
        <w:ind w:left="567" w:hanging="567"/>
        <w:rPr>
          <w:sz w:val="22"/>
        </w:rPr>
      </w:pPr>
      <w:r w:rsidRPr="00AF4904">
        <w:rPr>
          <w:sz w:val="22"/>
        </w:rPr>
        <w:t xml:space="preserve">Σκουρής Β. και Α. Τάχος, (1985) </w:t>
      </w:r>
      <w:r w:rsidRPr="00AF4904">
        <w:rPr>
          <w:i/>
          <w:sz w:val="22"/>
        </w:rPr>
        <w:t>Ειδικό Διοικητικό Δίκαιο</w:t>
      </w:r>
      <w:r w:rsidRPr="00AF4904">
        <w:rPr>
          <w:sz w:val="22"/>
        </w:rPr>
        <w:t>, (Α. Τάχο</w:t>
      </w:r>
      <w:r>
        <w:rPr>
          <w:sz w:val="22"/>
        </w:rPr>
        <w:t>υ) τ. 2, Σάκκουλας: Θεσσαλονίκη</w:t>
      </w:r>
      <w:r w:rsidRPr="00AF4904">
        <w:rPr>
          <w:sz w:val="22"/>
        </w:rPr>
        <w:t>.</w:t>
      </w:r>
    </w:p>
    <w:p w:rsidR="0068108F" w:rsidRPr="00C12D03" w:rsidRDefault="0068108F" w:rsidP="00C12D03">
      <w:pPr>
        <w:ind w:left="567" w:hanging="567"/>
        <w:rPr>
          <w:sz w:val="22"/>
        </w:rPr>
      </w:pPr>
      <w:r w:rsidRPr="00C12D03">
        <w:rPr>
          <w:sz w:val="22"/>
        </w:rPr>
        <w:t>Σπανού, Κ. (1995), «Σε Αναζήτηση του Εκσυγχρονισμού: Οι Πολιτικές Προσλήψεων στο Δημόσιο και οι Μεταρρυθμίσεις τους», στο: Μακρυδημήτρης, Α. (επιμ.)</w:t>
      </w:r>
      <w:r>
        <w:rPr>
          <w:sz w:val="22"/>
        </w:rPr>
        <w:t xml:space="preserve"> </w:t>
      </w:r>
      <w:r w:rsidRPr="00EA0AA8">
        <w:rPr>
          <w:i/>
          <w:sz w:val="22"/>
        </w:rPr>
        <w:t>Προβλήματα Διοικητικής Μεταρρύθμισης</w:t>
      </w:r>
      <w:r>
        <w:rPr>
          <w:sz w:val="22"/>
        </w:rPr>
        <w:t>, Αθήνα-Κομοτηνή: Σάκκουλας.</w:t>
      </w:r>
    </w:p>
    <w:p w:rsidR="0068108F" w:rsidRPr="00C12D03" w:rsidRDefault="0068108F" w:rsidP="00C12D03">
      <w:pPr>
        <w:ind w:left="567" w:hanging="567"/>
        <w:rPr>
          <w:sz w:val="22"/>
        </w:rPr>
      </w:pPr>
      <w:r w:rsidRPr="00C12D03">
        <w:rPr>
          <w:sz w:val="22"/>
        </w:rPr>
        <w:t xml:space="preserve">Σπανού, Κ. (2011) «Η Αναμόρφωση του Συστήματος Προσλήψεων. Παλιές Προκλήσεις και Νέες Απαντήσεις», στο: Χρυσανθάκης, Χ., Σπανού, Κ., Ντουχάνης, Χ. και Σ. Κτιστάκη, </w:t>
      </w:r>
      <w:r w:rsidRPr="00EA0AA8">
        <w:rPr>
          <w:i/>
          <w:sz w:val="22"/>
        </w:rPr>
        <w:t>Η Πρόσφατη Διοικητική Μεταρρύθμιση</w:t>
      </w:r>
      <w:r w:rsidRPr="00C12D03">
        <w:rPr>
          <w:sz w:val="22"/>
        </w:rPr>
        <w:t>, Αθήνα: Α.Ν. Σάκκουλας.</w:t>
      </w:r>
    </w:p>
    <w:p w:rsidR="0068108F" w:rsidRPr="00C12D03" w:rsidRDefault="0068108F" w:rsidP="00C12D03">
      <w:pPr>
        <w:ind w:left="567" w:hanging="567"/>
        <w:rPr>
          <w:sz w:val="22"/>
        </w:rPr>
      </w:pPr>
      <w:r w:rsidRPr="00C12D03">
        <w:rPr>
          <w:sz w:val="22"/>
        </w:rPr>
        <w:t xml:space="preserve">Συνήγορος του Πολίτη, (2006), </w:t>
      </w:r>
      <w:r w:rsidRPr="00EA0AA8">
        <w:rPr>
          <w:i/>
          <w:sz w:val="22"/>
        </w:rPr>
        <w:t>Πρ</w:t>
      </w:r>
      <w:r>
        <w:rPr>
          <w:i/>
          <w:sz w:val="22"/>
        </w:rPr>
        <w:t>οσλήψεις στο Δημόσιο Τομέα. Οι ε</w:t>
      </w:r>
      <w:r w:rsidRPr="00EA0AA8">
        <w:rPr>
          <w:i/>
          <w:sz w:val="22"/>
        </w:rPr>
        <w:t>κτός ΑΣΕΠ Διαδικασίες</w:t>
      </w:r>
      <w:r w:rsidRPr="00C12D03">
        <w:rPr>
          <w:sz w:val="22"/>
        </w:rPr>
        <w:t>, Αθήνα</w:t>
      </w:r>
      <w:r>
        <w:rPr>
          <w:sz w:val="22"/>
        </w:rPr>
        <w:t>.</w:t>
      </w:r>
      <w:r w:rsidRPr="00C12D03">
        <w:rPr>
          <w:sz w:val="22"/>
        </w:rPr>
        <w:t xml:space="preserve"> </w:t>
      </w:r>
    </w:p>
    <w:p w:rsidR="0068108F" w:rsidRPr="00AF4904" w:rsidRDefault="0068108F" w:rsidP="00AF4904">
      <w:pPr>
        <w:ind w:left="567" w:hanging="567"/>
        <w:rPr>
          <w:sz w:val="22"/>
        </w:rPr>
      </w:pPr>
      <w:r w:rsidRPr="00AF4904">
        <w:rPr>
          <w:sz w:val="22"/>
        </w:rPr>
        <w:t>Σωτηρόπουλος, Α. Δ. (2001)</w:t>
      </w:r>
      <w:r>
        <w:rPr>
          <w:sz w:val="22"/>
        </w:rPr>
        <w:t xml:space="preserve">, </w:t>
      </w:r>
      <w:r w:rsidRPr="00AF4904">
        <w:rPr>
          <w:i/>
          <w:sz w:val="22"/>
        </w:rPr>
        <w:t xml:space="preserve">Η </w:t>
      </w:r>
      <w:r>
        <w:rPr>
          <w:i/>
          <w:sz w:val="22"/>
        </w:rPr>
        <w:t>Κ</w:t>
      </w:r>
      <w:r w:rsidRPr="00AF4904">
        <w:rPr>
          <w:i/>
          <w:sz w:val="22"/>
        </w:rPr>
        <w:t xml:space="preserve">ορυφή του </w:t>
      </w:r>
      <w:r>
        <w:rPr>
          <w:i/>
          <w:sz w:val="22"/>
        </w:rPr>
        <w:t>Π</w:t>
      </w:r>
      <w:r w:rsidRPr="00AF4904">
        <w:rPr>
          <w:i/>
          <w:sz w:val="22"/>
        </w:rPr>
        <w:t xml:space="preserve">ελατειακού </w:t>
      </w:r>
      <w:r>
        <w:rPr>
          <w:i/>
          <w:sz w:val="22"/>
        </w:rPr>
        <w:t>Κ</w:t>
      </w:r>
      <w:r w:rsidRPr="00AF4904">
        <w:rPr>
          <w:i/>
          <w:sz w:val="22"/>
        </w:rPr>
        <w:t>ράτους</w:t>
      </w:r>
      <w:r w:rsidRPr="00AF4904">
        <w:rPr>
          <w:sz w:val="22"/>
        </w:rPr>
        <w:t>, Αθήνα: Ποταμός</w:t>
      </w:r>
      <w:r>
        <w:rPr>
          <w:sz w:val="22"/>
        </w:rPr>
        <w:t>.</w:t>
      </w:r>
    </w:p>
    <w:p w:rsidR="0068108F" w:rsidRDefault="0068108F" w:rsidP="00AF4904">
      <w:pPr>
        <w:ind w:left="567" w:hanging="567"/>
        <w:rPr>
          <w:sz w:val="22"/>
        </w:rPr>
      </w:pPr>
      <w:r w:rsidRPr="00AF4904">
        <w:rPr>
          <w:sz w:val="22"/>
        </w:rPr>
        <w:t>Τσέκος, Ν. Θ. (2012), «Η Διοικητική Κουλτούρα ως Γενεσιουργός Αιτία Αντιδεοντολογικών Πρακτικών», στο: Ε.Κ.Δ.Δ.Α., Ηθική και Δεοντολογία στη Σύγχρονη Δημόσια Διοίκηση, πρακτικά συνεδρίου, Αθήνα, 9.12.</w:t>
      </w:r>
      <w:r>
        <w:rPr>
          <w:sz w:val="22"/>
        </w:rPr>
        <w:t>2011, Εθνικό Τυπογραφείο.</w:t>
      </w:r>
    </w:p>
    <w:p w:rsidR="0068108F" w:rsidRPr="00AF4904" w:rsidRDefault="0068108F" w:rsidP="00AF4904">
      <w:pPr>
        <w:ind w:left="567" w:hanging="567"/>
        <w:rPr>
          <w:sz w:val="22"/>
        </w:rPr>
      </w:pPr>
      <w:r w:rsidRPr="00D55D63">
        <w:rPr>
          <w:sz w:val="22"/>
        </w:rPr>
        <w:t>Υπουργείο Προεδρίας της Κυβέρνησης</w:t>
      </w:r>
      <w:r>
        <w:rPr>
          <w:sz w:val="22"/>
        </w:rPr>
        <w:t xml:space="preserve">, (1991), </w:t>
      </w:r>
      <w:r w:rsidRPr="00D55D63">
        <w:rPr>
          <w:i/>
          <w:sz w:val="22"/>
        </w:rPr>
        <w:t>Δελτίο Στατιστικών Στοιχείων Προσωπικού του  Δημόσιου Τομέα</w:t>
      </w:r>
      <w:r w:rsidRPr="00D55D63">
        <w:rPr>
          <w:sz w:val="22"/>
        </w:rPr>
        <w:t>, Απογραφή 31-12-1991</w:t>
      </w:r>
      <w:r>
        <w:rPr>
          <w:sz w:val="22"/>
        </w:rPr>
        <w:t>, Αθήνα.</w:t>
      </w:r>
    </w:p>
    <w:p w:rsidR="0068108F" w:rsidRPr="00C12D03" w:rsidRDefault="0068108F" w:rsidP="00C12D03">
      <w:pPr>
        <w:ind w:left="567" w:hanging="567"/>
        <w:rPr>
          <w:sz w:val="22"/>
        </w:rPr>
      </w:pPr>
      <w:r w:rsidRPr="00C12D03">
        <w:rPr>
          <w:sz w:val="22"/>
        </w:rPr>
        <w:t xml:space="preserve">Χρυσανθάκης, Γ. Χ. (1995), “Τα Κριτήρια Στελέχωσης των Θέσεων της Δημόσιας Διοίκησης” στο: Μακρυδημήτρης, Α. (επιμ.), </w:t>
      </w:r>
      <w:r w:rsidRPr="00EA0AA8">
        <w:rPr>
          <w:i/>
          <w:sz w:val="22"/>
        </w:rPr>
        <w:t>Προβλήματα Διοικητικής Μεταρρύθμισης</w:t>
      </w:r>
      <w:r>
        <w:rPr>
          <w:sz w:val="22"/>
        </w:rPr>
        <w:t>, Αθήνα-Κομοτηνή: Σάκκουλας</w:t>
      </w:r>
      <w:r w:rsidRPr="00C12D03">
        <w:rPr>
          <w:sz w:val="22"/>
        </w:rPr>
        <w:t>.</w:t>
      </w:r>
    </w:p>
    <w:p w:rsidR="0068108F" w:rsidRPr="00C12D03" w:rsidRDefault="0068108F" w:rsidP="00C12D03">
      <w:pPr>
        <w:ind w:left="567" w:hanging="567"/>
        <w:rPr>
          <w:sz w:val="22"/>
        </w:rPr>
      </w:pPr>
      <w:r w:rsidRPr="00C12D03">
        <w:rPr>
          <w:sz w:val="22"/>
        </w:rPr>
        <w:t xml:space="preserve">Χρυσανθάκης, Γ. Χ. (2001), </w:t>
      </w:r>
      <w:r w:rsidRPr="00EA0AA8">
        <w:rPr>
          <w:i/>
          <w:sz w:val="22"/>
        </w:rPr>
        <w:t>Τα Συστήματα Προσλήψεων των Δημοσίων Υπαλλήλων</w:t>
      </w:r>
      <w:r>
        <w:rPr>
          <w:sz w:val="22"/>
        </w:rPr>
        <w:t>, Αθήνα-Κομοτηνή: Σάκκουλας.</w:t>
      </w:r>
    </w:p>
    <w:p w:rsidR="0068108F" w:rsidRDefault="0068108F" w:rsidP="00C12D03">
      <w:pPr>
        <w:ind w:left="567" w:hanging="567"/>
        <w:rPr>
          <w:sz w:val="22"/>
        </w:rPr>
      </w:pPr>
      <w:r w:rsidRPr="00C12D03">
        <w:rPr>
          <w:sz w:val="22"/>
        </w:rPr>
        <w:t xml:space="preserve">Χρυσανθάκης, Γ. Χ. (2007), </w:t>
      </w:r>
      <w:r w:rsidRPr="00EA0AA8">
        <w:rPr>
          <w:i/>
          <w:sz w:val="22"/>
        </w:rPr>
        <w:t>Βασικοί Θεσμοί Δημοσιοϋπαλληλικού Δικαίου</w:t>
      </w:r>
      <w:r w:rsidRPr="00C12D03">
        <w:rPr>
          <w:sz w:val="22"/>
        </w:rPr>
        <w:t xml:space="preserve">, Αθήνα-Κομοτηνή: Σάκκουλας. </w:t>
      </w:r>
    </w:p>
    <w:p w:rsidR="0068108F" w:rsidRDefault="0068108F" w:rsidP="00C12D03">
      <w:pPr>
        <w:ind w:left="567" w:hanging="567"/>
        <w:rPr>
          <w:sz w:val="22"/>
        </w:rPr>
      </w:pPr>
    </w:p>
    <w:p w:rsidR="0068108F" w:rsidRPr="00841D2F" w:rsidRDefault="0068108F" w:rsidP="00C12D03">
      <w:pPr>
        <w:ind w:left="567" w:hanging="567"/>
        <w:rPr>
          <w:b/>
          <w:sz w:val="22"/>
          <w:lang w:val="en-US"/>
        </w:rPr>
      </w:pPr>
      <w:r w:rsidRPr="00AF4904">
        <w:rPr>
          <w:b/>
          <w:sz w:val="22"/>
        </w:rPr>
        <w:t>Ξενόγλωσση</w:t>
      </w:r>
    </w:p>
    <w:p w:rsidR="0068108F" w:rsidRPr="00C12D03" w:rsidRDefault="0068108F" w:rsidP="00AF4904">
      <w:pPr>
        <w:ind w:left="567" w:hanging="567"/>
        <w:rPr>
          <w:sz w:val="22"/>
          <w:lang w:val="en-US"/>
        </w:rPr>
      </w:pPr>
      <w:r w:rsidRPr="00C12D03">
        <w:rPr>
          <w:sz w:val="22"/>
          <w:lang w:val="en-US"/>
        </w:rPr>
        <w:t>Chan, H.S., (2010), “Envisioning Public Administration as a Scholarly Field in 2020: The Quest for Meritocracy in the Chinese Burea</w:t>
      </w:r>
      <w:r>
        <w:rPr>
          <w:sz w:val="22"/>
          <w:lang w:val="en-US"/>
        </w:rPr>
        <w:t>ucracy”, Public Administration Review</w:t>
      </w:r>
      <w:r w:rsidRPr="00C12D03">
        <w:rPr>
          <w:sz w:val="22"/>
          <w:lang w:val="en-US"/>
        </w:rPr>
        <w:t>.</w:t>
      </w:r>
    </w:p>
    <w:p w:rsidR="0068108F" w:rsidRPr="00195735" w:rsidRDefault="0068108F" w:rsidP="00AF4904">
      <w:pPr>
        <w:ind w:left="567" w:hanging="567"/>
        <w:rPr>
          <w:sz w:val="22"/>
          <w:lang w:val="en-US"/>
        </w:rPr>
      </w:pPr>
      <w:r w:rsidRPr="00C12D03">
        <w:rPr>
          <w:sz w:val="22"/>
          <w:lang w:val="en-US"/>
        </w:rPr>
        <w:t>Co</w:t>
      </w:r>
      <w:r>
        <w:rPr>
          <w:sz w:val="22"/>
          <w:lang w:val="en-US"/>
        </w:rPr>
        <w:t>llier, R., &amp; Collier, D. (1991)</w:t>
      </w:r>
      <w:r w:rsidRPr="00AF4904">
        <w:rPr>
          <w:sz w:val="22"/>
          <w:lang w:val="en-US"/>
        </w:rPr>
        <w:t>,</w:t>
      </w:r>
      <w:r w:rsidRPr="00C12D03">
        <w:rPr>
          <w:sz w:val="22"/>
          <w:lang w:val="en-US"/>
        </w:rPr>
        <w:t xml:space="preserve"> </w:t>
      </w:r>
      <w:r w:rsidRPr="00AF4904">
        <w:rPr>
          <w:i/>
          <w:sz w:val="22"/>
          <w:lang w:val="en-US"/>
        </w:rPr>
        <w:t>Shaping the Political Arena</w:t>
      </w:r>
      <w:r w:rsidRPr="00AF4904">
        <w:rPr>
          <w:sz w:val="22"/>
          <w:lang w:val="en-US"/>
        </w:rPr>
        <w:t>,</w:t>
      </w:r>
      <w:r w:rsidRPr="00C12D03">
        <w:rPr>
          <w:sz w:val="22"/>
          <w:lang w:val="en-US"/>
        </w:rPr>
        <w:t xml:space="preserve"> </w:t>
      </w:r>
      <w:r w:rsidRPr="00195735">
        <w:rPr>
          <w:sz w:val="22"/>
          <w:lang w:val="en-US"/>
        </w:rPr>
        <w:t>Princeton: Princeton University Press.</w:t>
      </w:r>
    </w:p>
    <w:p w:rsidR="0068108F" w:rsidRPr="00C12D03" w:rsidRDefault="0068108F" w:rsidP="00AF4904">
      <w:pPr>
        <w:ind w:left="567" w:hanging="567"/>
        <w:rPr>
          <w:sz w:val="22"/>
          <w:lang w:val="en-US"/>
        </w:rPr>
      </w:pPr>
      <w:r w:rsidRPr="00C12D03">
        <w:rPr>
          <w:sz w:val="22"/>
          <w:lang w:val="en-US"/>
        </w:rPr>
        <w:t xml:space="preserve">Peters, B.G. (2001), </w:t>
      </w:r>
      <w:r w:rsidRPr="00AF4904">
        <w:rPr>
          <w:i/>
          <w:sz w:val="22"/>
          <w:lang w:val="en-US"/>
        </w:rPr>
        <w:t>The Politics of Bureaucracy</w:t>
      </w:r>
      <w:r>
        <w:rPr>
          <w:sz w:val="22"/>
          <w:lang w:val="en-US"/>
        </w:rPr>
        <w:t>, London: Routledge</w:t>
      </w:r>
      <w:r w:rsidRPr="00C12D03">
        <w:rPr>
          <w:sz w:val="22"/>
          <w:lang w:val="en-US"/>
        </w:rPr>
        <w:t xml:space="preserve">. </w:t>
      </w:r>
    </w:p>
    <w:p w:rsidR="0068108F" w:rsidRPr="00AF4904" w:rsidRDefault="0068108F" w:rsidP="00AF4904">
      <w:pPr>
        <w:ind w:left="567" w:hanging="567"/>
        <w:rPr>
          <w:sz w:val="22"/>
          <w:lang w:val="en-US"/>
        </w:rPr>
      </w:pPr>
      <w:r w:rsidRPr="00AF4904">
        <w:rPr>
          <w:sz w:val="22"/>
          <w:lang w:val="en-US"/>
        </w:rPr>
        <w:t xml:space="preserve">Rolnick A. J. &amp; W. E. Weber (1986), “Gresham's Law or Gresham's Fallacy?”, </w:t>
      </w:r>
      <w:r w:rsidRPr="00AF4904">
        <w:rPr>
          <w:i/>
          <w:sz w:val="22"/>
          <w:lang w:val="en-US"/>
        </w:rPr>
        <w:t>Journal of Political Economy</w:t>
      </w:r>
      <w:r w:rsidRPr="00AF4904">
        <w:rPr>
          <w:sz w:val="22"/>
          <w:lang w:val="en-US"/>
        </w:rPr>
        <w:t xml:space="preserve">, 94 (1), </w:t>
      </w:r>
      <w:r>
        <w:rPr>
          <w:sz w:val="22"/>
          <w:lang w:val="en-US"/>
        </w:rPr>
        <w:t>pp.</w:t>
      </w:r>
      <w:r w:rsidRPr="00AF4904">
        <w:rPr>
          <w:sz w:val="22"/>
          <w:lang w:val="en-US"/>
        </w:rPr>
        <w:t xml:space="preserve"> 185-</w:t>
      </w:r>
      <w:r>
        <w:rPr>
          <w:sz w:val="22"/>
          <w:lang w:val="en-US"/>
        </w:rPr>
        <w:t>199.</w:t>
      </w:r>
    </w:p>
    <w:p w:rsidR="0068108F" w:rsidRPr="00AF4904" w:rsidRDefault="0068108F" w:rsidP="00AF4904">
      <w:pPr>
        <w:ind w:left="567" w:hanging="567"/>
        <w:rPr>
          <w:sz w:val="22"/>
        </w:rPr>
      </w:pPr>
      <w:r w:rsidRPr="00AF4904">
        <w:rPr>
          <w:sz w:val="22"/>
          <w:lang w:val="en-US"/>
        </w:rPr>
        <w:t>Scarth</w:t>
      </w:r>
      <w:r w:rsidRPr="00AF4904">
        <w:rPr>
          <w:sz w:val="22"/>
        </w:rPr>
        <w:t xml:space="preserve"> </w:t>
      </w:r>
      <w:r w:rsidRPr="00AF4904">
        <w:rPr>
          <w:sz w:val="22"/>
          <w:lang w:val="en-US"/>
        </w:rPr>
        <w:t>M</w:t>
      </w:r>
      <w:r w:rsidRPr="00AF4904">
        <w:rPr>
          <w:sz w:val="22"/>
        </w:rPr>
        <w:t xml:space="preserve">. </w:t>
      </w:r>
      <w:r w:rsidRPr="00AF4904">
        <w:rPr>
          <w:sz w:val="22"/>
          <w:lang w:val="en-US"/>
        </w:rPr>
        <w:t>W</w:t>
      </w:r>
      <w:r w:rsidRPr="00AF4904">
        <w:rPr>
          <w:sz w:val="22"/>
        </w:rPr>
        <w:t xml:space="preserve">. και Θ. Μούτος (2011), </w:t>
      </w:r>
      <w:r w:rsidRPr="00AF4904">
        <w:rPr>
          <w:i/>
          <w:sz w:val="22"/>
        </w:rPr>
        <w:t>Σύγχρονη</w:t>
      </w:r>
      <w:r w:rsidRPr="00AF4904">
        <w:rPr>
          <w:sz w:val="22"/>
        </w:rPr>
        <w:t xml:space="preserve"> </w:t>
      </w:r>
      <w:r w:rsidRPr="00AF4904">
        <w:rPr>
          <w:i/>
          <w:sz w:val="22"/>
        </w:rPr>
        <w:t>Οικονομική. Θέματα και Μέθοδοι Οικονομικής Ανάλυσης</w:t>
      </w:r>
      <w:r w:rsidRPr="00AF4904">
        <w:rPr>
          <w:sz w:val="22"/>
        </w:rPr>
        <w:t>, (μτφρ.: Θ. Λιανός), Αθήνα: Gutenbu</w:t>
      </w:r>
      <w:r>
        <w:rPr>
          <w:sz w:val="22"/>
        </w:rPr>
        <w:t>rg.</w:t>
      </w:r>
    </w:p>
    <w:p w:rsidR="0068108F" w:rsidRPr="00AF4904" w:rsidRDefault="0068108F" w:rsidP="00AF4904">
      <w:pPr>
        <w:ind w:left="567" w:hanging="567"/>
        <w:rPr>
          <w:sz w:val="22"/>
          <w:lang w:val="en-US"/>
        </w:rPr>
      </w:pPr>
      <w:r w:rsidRPr="00C12D03">
        <w:rPr>
          <w:sz w:val="22"/>
          <w:lang w:val="en-US"/>
        </w:rPr>
        <w:t xml:space="preserve">Schneider, B. (1987), “The People Make the Place”, </w:t>
      </w:r>
      <w:r w:rsidRPr="00195735">
        <w:rPr>
          <w:i/>
          <w:sz w:val="22"/>
          <w:lang w:val="en-US"/>
        </w:rPr>
        <w:t>Personnel Psychology</w:t>
      </w:r>
      <w:r w:rsidRPr="00C12D03">
        <w:rPr>
          <w:sz w:val="22"/>
          <w:lang w:val="en-US"/>
        </w:rPr>
        <w:t>, 40</w:t>
      </w:r>
      <w:r>
        <w:rPr>
          <w:sz w:val="22"/>
          <w:lang w:val="en-US"/>
        </w:rPr>
        <w:t>, pp. 437-453.</w:t>
      </w:r>
    </w:p>
    <w:p w:rsidR="0068108F" w:rsidRPr="00AF4904" w:rsidRDefault="0068108F" w:rsidP="00C12D03">
      <w:pPr>
        <w:ind w:left="567" w:hanging="567"/>
        <w:rPr>
          <w:sz w:val="22"/>
        </w:rPr>
      </w:pPr>
      <w:r w:rsidRPr="00AF4904">
        <w:rPr>
          <w:sz w:val="22"/>
          <w:lang w:val="en-US"/>
        </w:rPr>
        <w:t xml:space="preserve">Spanou, C. (2012), “The Quandary of Administrative Reform”, in: Kalyvas, S., Pagoulatos, G. and H. Tsoukas, (eds) From Stagnation to Forced Adjustment. Reforms in Greece 1974-2010, London: Hurst &amp; Company, </w:t>
      </w:r>
      <w:r>
        <w:rPr>
          <w:sz w:val="22"/>
          <w:lang w:val="en-US"/>
        </w:rPr>
        <w:t>pp. 171-194.</w:t>
      </w:r>
    </w:p>
    <w:sectPr w:rsidR="0068108F" w:rsidRPr="00AF4904" w:rsidSect="0019267D">
      <w:footerReference w:type="default" r:id="rId11"/>
      <w:pgSz w:w="11906" w:h="16838"/>
      <w:pgMar w:top="1418" w:right="1588" w:bottom="1418" w:left="1588" w:header="709" w:footer="35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108F" w:rsidRDefault="0068108F" w:rsidP="002C7A23">
      <w:pPr>
        <w:spacing w:line="240" w:lineRule="auto"/>
      </w:pPr>
      <w:r>
        <w:separator/>
      </w:r>
    </w:p>
  </w:endnote>
  <w:endnote w:type="continuationSeparator" w:id="0">
    <w:p w:rsidR="0068108F" w:rsidRDefault="0068108F" w:rsidP="002C7A2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08F" w:rsidRPr="0019267D" w:rsidRDefault="0068108F" w:rsidP="006D364B">
    <w:pPr>
      <w:pStyle w:val="Footer"/>
      <w:jc w:val="center"/>
      <w:rPr>
        <w:sz w:val="24"/>
      </w:rPr>
    </w:pPr>
    <w:r w:rsidRPr="0019267D">
      <w:rPr>
        <w:sz w:val="20"/>
      </w:rPr>
      <w:fldChar w:fldCharType="begin"/>
    </w:r>
    <w:r w:rsidRPr="0019267D">
      <w:rPr>
        <w:sz w:val="20"/>
      </w:rPr>
      <w:instrText xml:space="preserve"> PAGE   \* MERGEFORMAT </w:instrText>
    </w:r>
    <w:r w:rsidRPr="0019267D">
      <w:rPr>
        <w:sz w:val="20"/>
      </w:rPr>
      <w:fldChar w:fldCharType="separate"/>
    </w:r>
    <w:r>
      <w:rPr>
        <w:noProof/>
        <w:sz w:val="20"/>
      </w:rPr>
      <w:t>1</w:t>
    </w:r>
    <w:r w:rsidRPr="0019267D">
      <w:rPr>
        <w:sz w:val="20"/>
      </w:rPr>
      <w:fldChar w:fldCharType="end"/>
    </w:r>
  </w:p>
  <w:p w:rsidR="0068108F" w:rsidRDefault="006810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108F" w:rsidRDefault="0068108F" w:rsidP="002C7A23">
      <w:pPr>
        <w:spacing w:line="240" w:lineRule="auto"/>
      </w:pPr>
      <w:r>
        <w:separator/>
      </w:r>
    </w:p>
  </w:footnote>
  <w:footnote w:type="continuationSeparator" w:id="0">
    <w:p w:rsidR="0068108F" w:rsidRDefault="0068108F" w:rsidP="002C7A23">
      <w:pPr>
        <w:spacing w:line="240" w:lineRule="auto"/>
      </w:pPr>
      <w:r>
        <w:continuationSeparator/>
      </w:r>
    </w:p>
  </w:footnote>
  <w:footnote w:id="1">
    <w:p w:rsidR="0068108F" w:rsidRDefault="0068108F" w:rsidP="00CC0C03">
      <w:pPr>
        <w:pStyle w:val="FootnoteText"/>
      </w:pPr>
      <w:r>
        <w:t>Θερμές ευχαριστίες απευθύνονται στην μεταδιδακτορική ερευνήτρια του ΕΚΠΑ Μαντώ Λαμπροπούλου για τις εποικοδομητικές παρατηρήσεις της επί προηγούμενης έκδοσης του κειμένου.</w:t>
      </w:r>
    </w:p>
    <w:p w:rsidR="0068108F" w:rsidRDefault="0068108F" w:rsidP="00CC0C03">
      <w:pPr>
        <w:pStyle w:val="FootnoteText"/>
      </w:pPr>
      <w:r>
        <w:rPr>
          <w:rStyle w:val="FootnoteReference"/>
        </w:rPr>
        <w:footnoteRef/>
      </w:r>
      <w:r>
        <w:t xml:space="preserve"> Ο </w:t>
      </w:r>
      <w:r w:rsidRPr="00A71686">
        <w:rPr>
          <w:lang w:val="en-US"/>
        </w:rPr>
        <w:t>Schneider</w:t>
      </w:r>
      <w:r w:rsidRPr="00A71686">
        <w:t xml:space="preserve"> (1987</w:t>
      </w:r>
      <w:r w:rsidRPr="00CC0C03">
        <w:t xml:space="preserve">, </w:t>
      </w:r>
      <w:r>
        <w:t>σ. 445</w:t>
      </w:r>
      <w:r w:rsidRPr="00A71686">
        <w:t xml:space="preserve">) υποστηρίζει ότι η επιλογή προσωπικού σε μια οργάνωση </w:t>
      </w:r>
      <w:r>
        <w:t>αποτελεί κο</w:t>
      </w:r>
      <w:r w:rsidRPr="00A71686">
        <w:t>μβ</w:t>
      </w:r>
      <w:r>
        <w:t>ικό</w:t>
      </w:r>
      <w:r w:rsidRPr="00A71686">
        <w:t xml:space="preserve"> </w:t>
      </w:r>
      <w:r>
        <w:t xml:space="preserve">σημείο </w:t>
      </w:r>
      <w:r w:rsidRPr="00A71686">
        <w:t xml:space="preserve">στη διαδικασία επίτευξης των οργανωσιακών στόχων </w:t>
      </w:r>
      <w:r>
        <w:t>της</w:t>
      </w:r>
      <w:r w:rsidRPr="00610329">
        <w:t>.</w:t>
      </w:r>
    </w:p>
  </w:footnote>
  <w:footnote w:id="2">
    <w:p w:rsidR="0068108F" w:rsidRDefault="0068108F" w:rsidP="00817933">
      <w:pPr>
        <w:pStyle w:val="FootnoteText"/>
      </w:pPr>
      <w:r>
        <w:rPr>
          <w:rStyle w:val="FootnoteReference"/>
        </w:rPr>
        <w:footnoteRef/>
      </w:r>
      <w:r>
        <w:t xml:space="preserve"> Από την άλλη πλευρά, στο πλαίσιο κριτικής</w:t>
      </w:r>
      <w:r w:rsidRPr="00554534">
        <w:t xml:space="preserve"> της</w:t>
      </w:r>
      <w:r>
        <w:t xml:space="preserve"> αξιοκρατικής αρχής υποστηρίζεται ότι </w:t>
      </w:r>
      <w:r w:rsidRPr="0032493B">
        <w:t>το προσωπικό που έχει επιλεγεί με πολιτικά κριτήρια ανταποκρ</w:t>
      </w:r>
      <w:r>
        <w:t>ίνεται «ενεργητικά»</w:t>
      </w:r>
      <w:r w:rsidRPr="0032493B">
        <w:t xml:space="preserve"> στην εφαρμογή προγραμμάτων, </w:t>
      </w:r>
      <w:r>
        <w:t>έναντι «</w:t>
      </w:r>
      <w:r w:rsidRPr="0032493B">
        <w:t>ουδέτερ</w:t>
      </w:r>
      <w:r>
        <w:t>α» του –αξιοκρατικά επιλεγέντος– προσωπικού</w:t>
      </w:r>
      <w:r w:rsidRPr="0032493B">
        <w:t xml:space="preserve">. </w:t>
      </w:r>
      <w:r>
        <w:t>Βλ</w:t>
      </w:r>
      <w:r w:rsidRPr="008F0F5A">
        <w:t xml:space="preserve">. </w:t>
      </w:r>
      <w:r>
        <w:t>σχετ</w:t>
      </w:r>
      <w:r w:rsidRPr="008F0F5A">
        <w:t xml:space="preserve">.: </w:t>
      </w:r>
      <w:r w:rsidRPr="0032493B">
        <w:rPr>
          <w:lang w:val="en-US"/>
        </w:rPr>
        <w:t>Peters</w:t>
      </w:r>
      <w:r w:rsidRPr="008F0F5A">
        <w:t xml:space="preserve"> (2001, </w:t>
      </w:r>
      <w:r>
        <w:t>σ</w:t>
      </w:r>
      <w:r w:rsidRPr="008F0F5A">
        <w:t xml:space="preserve">. 87). </w:t>
      </w:r>
    </w:p>
  </w:footnote>
  <w:footnote w:id="3">
    <w:p w:rsidR="0068108F" w:rsidRDefault="0068108F" w:rsidP="00EF689D">
      <w:pPr>
        <w:pStyle w:val="FootnoteText"/>
      </w:pPr>
      <w:r>
        <w:rPr>
          <w:rStyle w:val="FootnoteReference"/>
        </w:rPr>
        <w:footnoteRef/>
      </w:r>
      <w:r>
        <w:t xml:space="preserve"> Σχετ.: Έκθεση Επιτροπής </w:t>
      </w:r>
      <w:r w:rsidRPr="00D059D9">
        <w:t>Δεκλερή</w:t>
      </w:r>
      <w:r>
        <w:t xml:space="preserve"> (1992, σ. 644).</w:t>
      </w:r>
    </w:p>
  </w:footnote>
  <w:footnote w:id="4">
    <w:p w:rsidR="0068108F" w:rsidRDefault="0068108F">
      <w:pPr>
        <w:pStyle w:val="FootnoteText"/>
      </w:pPr>
      <w:r>
        <w:rPr>
          <w:rStyle w:val="FootnoteReference"/>
        </w:rPr>
        <w:footnoteRef/>
      </w:r>
      <w:r>
        <w:t xml:space="preserve"> Π.χ. έχει επισημανθεί η</w:t>
      </w:r>
      <w:r w:rsidRPr="001137F1">
        <w:t xml:space="preserve"> μηχανιστικ</w:t>
      </w:r>
      <w:r>
        <w:t>ή</w:t>
      </w:r>
      <w:r w:rsidRPr="001137F1">
        <w:t xml:space="preserve"> </w:t>
      </w:r>
      <w:r>
        <w:t>διάσταση</w:t>
      </w:r>
      <w:r w:rsidRPr="001137F1">
        <w:t xml:space="preserve"> εφαρμογής του </w:t>
      </w:r>
      <w:r>
        <w:t>όταν διαπιστώνεται</w:t>
      </w:r>
      <w:r w:rsidRPr="001137F1">
        <w:t xml:space="preserve"> η ικανότητα αποστήθισης</w:t>
      </w:r>
      <w:r>
        <w:t xml:space="preserve"> αντί της</w:t>
      </w:r>
      <w:r w:rsidRPr="00A56ABB">
        <w:t xml:space="preserve"> </w:t>
      </w:r>
      <w:r>
        <w:t>επαγγελματικής αξίας. Βλ. σχετ.: Μακρυδημήτρης (σε συνεργασία: Μ. Η. Πραβίτα) (2010, σ. 386).</w:t>
      </w:r>
    </w:p>
  </w:footnote>
  <w:footnote w:id="5">
    <w:p w:rsidR="0068108F" w:rsidRDefault="0068108F" w:rsidP="002C7A23">
      <w:pPr>
        <w:pStyle w:val="FootnoteText"/>
      </w:pPr>
      <w:r>
        <w:rPr>
          <w:rStyle w:val="FootnoteReference"/>
        </w:rPr>
        <w:footnoteRef/>
      </w:r>
      <w:r>
        <w:t xml:space="preserve"> Ο Βαρβαρέσσος</w:t>
      </w:r>
      <w:r w:rsidRPr="00772F07">
        <w:t xml:space="preserve"> </w:t>
      </w:r>
      <w:r>
        <w:t>(1952) αναφέρει ότι: «</w:t>
      </w:r>
      <w:r w:rsidRPr="00610329">
        <w:t>κατά την τελευταία δεκαετία ο διορισμός δια μέσων και επιρροών υπήρξε ο κανόνας μάλλον», καθώς κατά την ίδια περίοδο πραγματοποιήθηκαν αθρόοι διορισμοί στη διοίκηση, πολλοί εκ των οποίων «άνευ εγγυήσεων περί των προσόντων και του ήθους των διοριζομένων</w:t>
      </w:r>
      <w:r>
        <w:t>» Σχετ.: Βαρβαρέσσος</w:t>
      </w:r>
      <w:r w:rsidRPr="00772F07">
        <w:t xml:space="preserve"> </w:t>
      </w:r>
      <w:r>
        <w:t>(1952,</w:t>
      </w:r>
      <w:r w:rsidRPr="00610329">
        <w:t xml:space="preserve"> </w:t>
      </w:r>
      <w:r>
        <w:t>σσ. 70, 83).</w:t>
      </w:r>
    </w:p>
  </w:footnote>
  <w:footnote w:id="6">
    <w:p w:rsidR="0068108F" w:rsidRDefault="0068108F" w:rsidP="00CC17ED">
      <w:pPr>
        <w:pStyle w:val="FootnoteText"/>
      </w:pPr>
      <w:r>
        <w:rPr>
          <w:rStyle w:val="FootnoteReference"/>
        </w:rPr>
        <w:footnoteRef/>
      </w:r>
      <w:r>
        <w:t xml:space="preserve"> Ν. 1811/</w:t>
      </w:r>
      <w:r w:rsidRPr="00BC1C1B">
        <w:t>1951</w:t>
      </w:r>
      <w:r>
        <w:t>, «Περί Κώδικος καταστάσεων των Δημοσίων Διοικητικών Υπαλλήλων», ΦΕΚ 141</w:t>
      </w:r>
      <w:r w:rsidRPr="00BC1C1B">
        <w:rPr>
          <w:vertAlign w:val="superscript"/>
        </w:rPr>
        <w:t>Α</w:t>
      </w:r>
      <w:r>
        <w:t>.</w:t>
      </w:r>
    </w:p>
  </w:footnote>
  <w:footnote w:id="7">
    <w:p w:rsidR="0068108F" w:rsidRDefault="0068108F">
      <w:pPr>
        <w:pStyle w:val="FootnoteText"/>
      </w:pPr>
      <w:r>
        <w:rPr>
          <w:rStyle w:val="FootnoteReference"/>
        </w:rPr>
        <w:footnoteRef/>
      </w:r>
      <w:r>
        <w:t xml:space="preserve"> Ν. 1811/1951, οπ.π., άρθρο 22, παρ. 1.</w:t>
      </w:r>
    </w:p>
  </w:footnote>
  <w:footnote w:id="8">
    <w:p w:rsidR="0068108F" w:rsidRDefault="0068108F">
      <w:pPr>
        <w:pStyle w:val="FootnoteText"/>
      </w:pPr>
      <w:r>
        <w:rPr>
          <w:rStyle w:val="FootnoteReference"/>
        </w:rPr>
        <w:footnoteRef/>
      </w:r>
      <w:r>
        <w:t xml:space="preserve"> Ν. 1811/1951, οπ.π., αρθρ. 24, 25 και 26.</w:t>
      </w:r>
    </w:p>
  </w:footnote>
  <w:footnote w:id="9">
    <w:p w:rsidR="0068108F" w:rsidRDefault="0068108F">
      <w:pPr>
        <w:pStyle w:val="FootnoteText"/>
      </w:pPr>
      <w:r>
        <w:rPr>
          <w:rStyle w:val="FootnoteReference"/>
        </w:rPr>
        <w:footnoteRef/>
      </w:r>
      <w:r>
        <w:t xml:space="preserve"> Ν. 1811/1951, οπ.π., αρθρ. 2, παρ. 1.</w:t>
      </w:r>
    </w:p>
  </w:footnote>
  <w:footnote w:id="10">
    <w:p w:rsidR="0068108F" w:rsidRDefault="0068108F">
      <w:pPr>
        <w:pStyle w:val="FootnoteText"/>
      </w:pPr>
      <w:r>
        <w:rPr>
          <w:rStyle w:val="FootnoteReference"/>
        </w:rPr>
        <w:footnoteRef/>
      </w:r>
      <w:r>
        <w:t xml:space="preserve"> Ν. 1811/1951, οπ.π., αρθρ. 3.</w:t>
      </w:r>
    </w:p>
  </w:footnote>
  <w:footnote w:id="11">
    <w:p w:rsidR="0068108F" w:rsidRDefault="0068108F">
      <w:pPr>
        <w:pStyle w:val="FootnoteText"/>
      </w:pPr>
      <w:r>
        <w:rPr>
          <w:rStyle w:val="FootnoteReference"/>
        </w:rPr>
        <w:footnoteRef/>
      </w:r>
      <w:r>
        <w:t xml:space="preserve"> Ν. 1811/1951, οπ.π., παρ. 8 αρθρ. 22.</w:t>
      </w:r>
    </w:p>
  </w:footnote>
  <w:footnote w:id="12">
    <w:p w:rsidR="0068108F" w:rsidRDefault="0068108F">
      <w:pPr>
        <w:pStyle w:val="FootnoteText"/>
      </w:pPr>
      <w:r>
        <w:rPr>
          <w:rStyle w:val="FootnoteReference"/>
        </w:rPr>
        <w:footnoteRef/>
      </w:r>
      <w:r w:rsidRPr="005A12D1">
        <w:t xml:space="preserve"> </w:t>
      </w:r>
      <w:r>
        <w:t>Όπως έχει επισημανθεί, το Α.Σ.Δ.Υ. σταδιακά περιθωριοποιήθηκε και η επιρροή του μειώθηκε. Βλ. σχετ.: Σπανού</w:t>
      </w:r>
      <w:r w:rsidRPr="00C1235E">
        <w:t xml:space="preserve"> </w:t>
      </w:r>
      <w:r>
        <w:t>(1995, σ. 74)</w:t>
      </w:r>
      <w:r>
        <w:sym w:font="Wingdings" w:char="F09E"/>
      </w:r>
      <w:r>
        <w:t xml:space="preserve"> </w:t>
      </w:r>
      <w:r>
        <w:rPr>
          <w:lang w:val="en-US"/>
        </w:rPr>
        <w:t>Langrod</w:t>
      </w:r>
      <w:r w:rsidRPr="000D07B2">
        <w:t xml:space="preserve"> </w:t>
      </w:r>
      <w:r>
        <w:t>(1964, σ. 185).</w:t>
      </w:r>
    </w:p>
  </w:footnote>
  <w:footnote w:id="13">
    <w:p w:rsidR="0068108F" w:rsidRDefault="0068108F">
      <w:pPr>
        <w:pStyle w:val="FootnoteText"/>
      </w:pPr>
      <w:r>
        <w:rPr>
          <w:rStyle w:val="FootnoteReference"/>
        </w:rPr>
        <w:footnoteRef/>
      </w:r>
      <w:r>
        <w:t xml:space="preserve"> Ν.Δ. </w:t>
      </w:r>
      <w:r w:rsidRPr="00CC17ED">
        <w:t>2500</w:t>
      </w:r>
      <w:r>
        <w:t>/1953</w:t>
      </w:r>
      <w:r w:rsidRPr="00CC17ED">
        <w:t>, «</w:t>
      </w:r>
      <w:r>
        <w:t>Περί περιορισμού της εις προσωπικόν συνθέσεως των πολιτικών του Κράτους υπηρεσιών», ΦΕΚ 197</w:t>
      </w:r>
      <w:r w:rsidRPr="00CC17ED">
        <w:rPr>
          <w:vertAlign w:val="superscript"/>
        </w:rPr>
        <w:t>Α</w:t>
      </w:r>
      <w:r>
        <w:t>, παρ. 4, αρθρ. 1.</w:t>
      </w:r>
    </w:p>
  </w:footnote>
  <w:footnote w:id="14">
    <w:p w:rsidR="0068108F" w:rsidRDefault="0068108F">
      <w:pPr>
        <w:pStyle w:val="FootnoteText"/>
      </w:pPr>
      <w:r>
        <w:rPr>
          <w:rStyle w:val="FootnoteReference"/>
        </w:rPr>
        <w:footnoteRef/>
      </w:r>
      <w:r>
        <w:t xml:space="preserve"> Ν.Δ. </w:t>
      </w:r>
      <w:r w:rsidRPr="00CC17ED">
        <w:t>2500</w:t>
      </w:r>
      <w:r>
        <w:t>/1953, οπ.π., παρ. 1, αρθρ. 2.</w:t>
      </w:r>
    </w:p>
  </w:footnote>
  <w:footnote w:id="15">
    <w:p w:rsidR="0068108F" w:rsidRDefault="0068108F" w:rsidP="00DB429E">
      <w:pPr>
        <w:pStyle w:val="FootnoteText"/>
      </w:pPr>
      <w:r>
        <w:rPr>
          <w:rStyle w:val="FootnoteReference"/>
        </w:rPr>
        <w:footnoteRef/>
      </w:r>
      <w:r>
        <w:t xml:space="preserve"> Η εν λόγω απόφαση αφορούσε την κατά παρέκκλιση της κείμενης νομοθεσίας πρόσληψη </w:t>
      </w:r>
      <w:r w:rsidRPr="006860A5">
        <w:t xml:space="preserve">εκατό </w:t>
      </w:r>
      <w:r>
        <w:t>(100) υπαλλήλων</w:t>
      </w:r>
      <w:r w:rsidRPr="006860A5">
        <w:t xml:space="preserve"> από τον Ο.Α.Α.Α. (μετέπειτα Ο.Α.Ε.Δ.)</w:t>
      </w:r>
      <w:r>
        <w:t xml:space="preserve"> και κυρώθηκε με το </w:t>
      </w:r>
      <w:r w:rsidRPr="006860A5">
        <w:t>Ν.Δ. 1191</w:t>
      </w:r>
      <w:r>
        <w:t>/</w:t>
      </w:r>
      <w:r w:rsidRPr="006860A5">
        <w:t xml:space="preserve">1972 </w:t>
      </w:r>
      <w:r>
        <w:t>«</w:t>
      </w:r>
      <w:r w:rsidRPr="006860A5">
        <w:t>Περί κυρώσεως αποφάσεων τινων του Υπουργού Εργασίας, αφορωσών εις την πρόσληψιν προσωπικού παρά τω Ο.Α.Α.Α. νυν Ο.Α.Ε.Δ</w:t>
      </w:r>
      <w:r>
        <w:t xml:space="preserve">…». </w:t>
      </w:r>
    </w:p>
  </w:footnote>
  <w:footnote w:id="16">
    <w:p w:rsidR="0068108F" w:rsidRDefault="0068108F">
      <w:pPr>
        <w:pStyle w:val="FootnoteText"/>
      </w:pPr>
      <w:r>
        <w:rPr>
          <w:rStyle w:val="FootnoteReference"/>
        </w:rPr>
        <w:footnoteRef/>
      </w:r>
      <w:r>
        <w:t xml:space="preserve"> Βλ. σχετ.: Ν.Δ. </w:t>
      </w:r>
      <w:r w:rsidRPr="00CC17ED">
        <w:t>2500</w:t>
      </w:r>
      <w:r>
        <w:t>/1953 οπ.π.</w:t>
      </w:r>
    </w:p>
  </w:footnote>
  <w:footnote w:id="17">
    <w:p w:rsidR="0068108F" w:rsidRDefault="0068108F">
      <w:pPr>
        <w:pStyle w:val="FootnoteText"/>
      </w:pPr>
      <w:r>
        <w:rPr>
          <w:rStyle w:val="FootnoteReference"/>
        </w:rPr>
        <w:footnoteRef/>
      </w:r>
      <w:r>
        <w:t xml:space="preserve"> Ν.Δ. 4193/1961, «</w:t>
      </w:r>
      <w:r w:rsidRPr="00DB429E">
        <w:t>Περί τακτοποιήσεως εκτάκτου προσωπικού των δημοσίων υπηρεσιών</w:t>
      </w:r>
      <w:r>
        <w:t>…»</w:t>
      </w:r>
      <w:r w:rsidRPr="00DB429E">
        <w:t xml:space="preserve"> ΦΕΚ 166</w:t>
      </w:r>
      <w:r w:rsidRPr="00DB429E">
        <w:rPr>
          <w:vertAlign w:val="superscript"/>
        </w:rPr>
        <w:t>Α</w:t>
      </w:r>
      <w:r>
        <w:t>, αρθρ.</w:t>
      </w:r>
      <w:r w:rsidRPr="00DB429E">
        <w:t xml:space="preserve"> 1 και παρ. 3 αρθρ. 7.</w:t>
      </w:r>
    </w:p>
  </w:footnote>
  <w:footnote w:id="18">
    <w:p w:rsidR="0068108F" w:rsidRDefault="0068108F">
      <w:pPr>
        <w:pStyle w:val="FootnoteText"/>
      </w:pPr>
      <w:r>
        <w:rPr>
          <w:rStyle w:val="FootnoteReference"/>
        </w:rPr>
        <w:footnoteRef/>
      </w:r>
      <w:r>
        <w:t xml:space="preserve"> Ν.Δ. 169/1969 «</w:t>
      </w:r>
      <w:r w:rsidRPr="00DB429E">
        <w:t>Περί τακτοποιήσεως εκτάκτων υπαλλήλων των Δημοσίων Υπηρεσιών και Ν.Π.Δ.Δ.</w:t>
      </w:r>
      <w:r>
        <w:t>», ΦΕΚ 63</w:t>
      </w:r>
      <w:r w:rsidRPr="00DB429E">
        <w:rPr>
          <w:vertAlign w:val="superscript"/>
        </w:rPr>
        <w:t>Α</w:t>
      </w:r>
      <w:r>
        <w:t>,</w:t>
      </w:r>
      <w:r w:rsidRPr="00DB429E">
        <w:t xml:space="preserve"> </w:t>
      </w:r>
      <w:r>
        <w:t>παρ. 1 αρθρ. 1. Ο αριθμός των υπαλλήλων που μονιμοποιήθηκαν ανήλθε σε 11.000. Βλ. σχετ.: Ζευγαρίδης (1977, σ. 163).</w:t>
      </w:r>
    </w:p>
  </w:footnote>
  <w:footnote w:id="19">
    <w:p w:rsidR="0068108F" w:rsidRDefault="0068108F">
      <w:pPr>
        <w:pStyle w:val="FootnoteText"/>
      </w:pPr>
      <w:r>
        <w:rPr>
          <w:rStyle w:val="FootnoteReference"/>
        </w:rPr>
        <w:footnoteRef/>
      </w:r>
      <w:r>
        <w:t xml:space="preserve"> Β.Δ. 762/1965, «Περί του Α.Σ.Δ.Υ. και της Γ.Δ.Δ.Ο.», ΦΕΚ 190</w:t>
      </w:r>
      <w:r w:rsidRPr="000A0C7A">
        <w:rPr>
          <w:vertAlign w:val="superscript"/>
        </w:rPr>
        <w:t>Α</w:t>
      </w:r>
      <w:r>
        <w:t>, αρθρ. 1.</w:t>
      </w:r>
    </w:p>
  </w:footnote>
  <w:footnote w:id="20">
    <w:p w:rsidR="0068108F" w:rsidRDefault="0068108F">
      <w:pPr>
        <w:pStyle w:val="FootnoteText"/>
      </w:pPr>
      <w:r>
        <w:rPr>
          <w:rStyle w:val="FootnoteReference"/>
        </w:rPr>
        <w:footnoteRef/>
      </w:r>
      <w:r>
        <w:t xml:space="preserve"> </w:t>
      </w:r>
      <w:r w:rsidRPr="000A0C7A">
        <w:t xml:space="preserve">Η </w:t>
      </w:r>
      <w:r>
        <w:t xml:space="preserve">Γ.Δ.Δ.Ο. </w:t>
      </w:r>
      <w:r w:rsidRPr="000A0C7A">
        <w:t>μετονομάστηκε σε Γενική</w:t>
      </w:r>
      <w:r>
        <w:t xml:space="preserve"> Διεύθυνση Δημόσιας Διοίκησης (Γ.Δ.Δ.Δ.) και αποτέλεσε οργανική μονάδα του Υπουργείου Προεδρίας με τον Α.Ν. 91.1967 «</w:t>
      </w:r>
      <w:r w:rsidRPr="003A1507">
        <w:t>Περί οργανώσεως, λειτουργίας και αρμοδιοτήτων του Υπουργείου Προεδρίας της Κυβερνήσεως</w:t>
      </w:r>
      <w:r>
        <w:t>» ΦΕΚ 139</w:t>
      </w:r>
      <w:r w:rsidRPr="003A1507">
        <w:rPr>
          <w:vertAlign w:val="superscript"/>
        </w:rPr>
        <w:t>Α</w:t>
      </w:r>
      <w:r>
        <w:t>.</w:t>
      </w:r>
    </w:p>
  </w:footnote>
  <w:footnote w:id="21">
    <w:p w:rsidR="0068108F" w:rsidRDefault="0068108F" w:rsidP="00040724">
      <w:pPr>
        <w:pStyle w:val="FootnoteText"/>
      </w:pPr>
      <w:r>
        <w:rPr>
          <w:rStyle w:val="FootnoteReference"/>
        </w:rPr>
        <w:footnoteRef/>
      </w:r>
      <w:r>
        <w:t xml:space="preserve"> Ν.Δ. 285/1974, «Περί καταργήσεως του Α.Σ.Δ.Υ.», ΦΕΚ 19</w:t>
      </w:r>
      <w:r w:rsidRPr="000926D3">
        <w:rPr>
          <w:vertAlign w:val="superscript"/>
        </w:rPr>
        <w:t>Α</w:t>
      </w:r>
      <w:r>
        <w:t>.</w:t>
      </w:r>
    </w:p>
  </w:footnote>
  <w:footnote w:id="22">
    <w:p w:rsidR="0068108F" w:rsidRDefault="0068108F">
      <w:pPr>
        <w:pStyle w:val="FootnoteText"/>
      </w:pPr>
      <w:r>
        <w:rPr>
          <w:rStyle w:val="FootnoteReference"/>
        </w:rPr>
        <w:footnoteRef/>
      </w:r>
      <w:r>
        <w:t xml:space="preserve"> Ν.Δ. 216/1974, «Περί συστάσεως Υπουργείου Προεδρίας Κυβερνήσεως», ΦΕΚ 367</w:t>
      </w:r>
      <w:r w:rsidRPr="00BE3E80">
        <w:rPr>
          <w:vertAlign w:val="superscript"/>
        </w:rPr>
        <w:t>Α</w:t>
      </w:r>
      <w:r>
        <w:t>.</w:t>
      </w:r>
    </w:p>
  </w:footnote>
  <w:footnote w:id="23">
    <w:p w:rsidR="0068108F" w:rsidRDefault="0068108F" w:rsidP="003B15F5">
      <w:pPr>
        <w:pStyle w:val="FootnoteText"/>
      </w:pPr>
      <w:r>
        <w:rPr>
          <w:rStyle w:val="FootnoteReference"/>
        </w:rPr>
        <w:footnoteRef/>
      </w:r>
      <w:r>
        <w:t xml:space="preserve"> Π.Δ. 770/1975, «Περί διαρθρώσεως του Υπουργείου Προεδρίας Κυβερνήσεως...», ΦΕΚ 248</w:t>
      </w:r>
      <w:r w:rsidRPr="00410F7B">
        <w:rPr>
          <w:vertAlign w:val="superscript"/>
        </w:rPr>
        <w:t>Α</w:t>
      </w:r>
      <w:r>
        <w:t>, αρθρ. 13, 18-19.</w:t>
      </w:r>
    </w:p>
  </w:footnote>
  <w:footnote w:id="24">
    <w:p w:rsidR="0068108F" w:rsidRDefault="0068108F">
      <w:pPr>
        <w:pStyle w:val="FootnoteText"/>
      </w:pPr>
      <w:r>
        <w:rPr>
          <w:rStyle w:val="FootnoteReference"/>
        </w:rPr>
        <w:footnoteRef/>
      </w:r>
      <w:r>
        <w:t xml:space="preserve"> Ν. 51/1975, «Περί αναδιοργανώσεως…», ΦΕΚ 125</w:t>
      </w:r>
      <w:r w:rsidRPr="00082092">
        <w:rPr>
          <w:vertAlign w:val="superscript"/>
        </w:rPr>
        <w:t>Α</w:t>
      </w:r>
      <w:r>
        <w:t>, αρθρ. 5.</w:t>
      </w:r>
    </w:p>
  </w:footnote>
  <w:footnote w:id="25">
    <w:p w:rsidR="0068108F" w:rsidRDefault="0068108F">
      <w:pPr>
        <w:pStyle w:val="FootnoteText"/>
      </w:pPr>
      <w:r>
        <w:rPr>
          <w:rStyle w:val="FootnoteReference"/>
        </w:rPr>
        <w:footnoteRef/>
      </w:r>
      <w:r>
        <w:t xml:space="preserve"> Ν. 22/1975, «Περί ρυθμίσεως θεμάτων καταστάσεως των δημοσίων διοικητικών υπαλλήλων και υπαλλήλων Ν.Π.Δ.Δ.», ΦΕΚ 54</w:t>
      </w:r>
      <w:r w:rsidRPr="00B410EF">
        <w:rPr>
          <w:vertAlign w:val="superscript"/>
        </w:rPr>
        <w:t>Α</w:t>
      </w:r>
      <w:r>
        <w:t>, αρθρ. 12.</w:t>
      </w:r>
    </w:p>
  </w:footnote>
  <w:footnote w:id="26">
    <w:p w:rsidR="0068108F" w:rsidRDefault="0068108F">
      <w:pPr>
        <w:pStyle w:val="FootnoteText"/>
      </w:pPr>
      <w:r>
        <w:rPr>
          <w:rStyle w:val="FootnoteReference"/>
        </w:rPr>
        <w:footnoteRef/>
      </w:r>
      <w:r>
        <w:t xml:space="preserve"> Ν. 22/1975, οπ.π., αρθρ. 9.</w:t>
      </w:r>
    </w:p>
  </w:footnote>
  <w:footnote w:id="27">
    <w:p w:rsidR="0068108F" w:rsidRDefault="0068108F">
      <w:pPr>
        <w:pStyle w:val="FootnoteText"/>
      </w:pPr>
      <w:r>
        <w:rPr>
          <w:rStyle w:val="FootnoteReference"/>
        </w:rPr>
        <w:footnoteRef/>
      </w:r>
      <w:r>
        <w:t xml:space="preserve"> Ν. 434/1976, «Περί πληρώσεως θέσεων…», ΦΕΚ 246</w:t>
      </w:r>
      <w:r w:rsidRPr="00CA57C1">
        <w:rPr>
          <w:vertAlign w:val="superscript"/>
        </w:rPr>
        <w:t>Α</w:t>
      </w:r>
      <w:r>
        <w:t>, αρθρ. 8.</w:t>
      </w:r>
    </w:p>
  </w:footnote>
  <w:footnote w:id="28">
    <w:p w:rsidR="0068108F" w:rsidRDefault="0068108F">
      <w:pPr>
        <w:pStyle w:val="FootnoteText"/>
      </w:pPr>
      <w:r>
        <w:rPr>
          <w:rStyle w:val="FootnoteReference"/>
        </w:rPr>
        <w:footnoteRef/>
      </w:r>
      <w:r>
        <w:t xml:space="preserve"> Ν. 434/1976, οπ.π., αρθρ. 1. </w:t>
      </w:r>
      <w:r w:rsidRPr="001550C7">
        <w:t xml:space="preserve">Η Κ.Ε.Δ. </w:t>
      </w:r>
      <w:r>
        <w:t xml:space="preserve">θα </w:t>
      </w:r>
      <w:r w:rsidRPr="001550C7">
        <w:t>υποβοηθούντα</w:t>
      </w:r>
      <w:r>
        <w:t>ν από τις κατά νομό υπεύθυνες τριμελείς τοπικές επιτροπές στη διεξαγωγή των διαγωνισμών.</w:t>
      </w:r>
    </w:p>
  </w:footnote>
  <w:footnote w:id="29">
    <w:p w:rsidR="0068108F" w:rsidRDefault="0068108F">
      <w:pPr>
        <w:pStyle w:val="FootnoteText"/>
      </w:pPr>
      <w:r>
        <w:rPr>
          <w:rStyle w:val="FootnoteReference"/>
        </w:rPr>
        <w:footnoteRef/>
      </w:r>
      <w:r>
        <w:t xml:space="preserve"> Π.Δ. </w:t>
      </w:r>
      <w:r w:rsidRPr="003B15F5">
        <w:t>611</w:t>
      </w:r>
      <w:r>
        <w:t>/</w:t>
      </w:r>
      <w:r w:rsidRPr="003B15F5">
        <w:t>1977</w:t>
      </w:r>
      <w:r>
        <w:t>, «</w:t>
      </w:r>
      <w:r w:rsidRPr="003B15F5">
        <w:t xml:space="preserve">Περί κωδικοποιήσεως εις ενιαίον κείμενον, υπό τίτλον </w:t>
      </w:r>
      <w:r>
        <w:t>"Υπαλληλικός Κώδιξ"..</w:t>
      </w:r>
      <w:r w:rsidRPr="003B15F5">
        <w:t>.</w:t>
      </w:r>
      <w:r>
        <w:t>», ΦΕΚ 198</w:t>
      </w:r>
      <w:r w:rsidRPr="003B15F5">
        <w:rPr>
          <w:vertAlign w:val="superscript"/>
        </w:rPr>
        <w:t>Α</w:t>
      </w:r>
      <w:r>
        <w:t>.</w:t>
      </w:r>
    </w:p>
  </w:footnote>
  <w:footnote w:id="30">
    <w:p w:rsidR="0068108F" w:rsidRDefault="0068108F">
      <w:pPr>
        <w:pStyle w:val="FootnoteText"/>
      </w:pPr>
      <w:r>
        <w:rPr>
          <w:rStyle w:val="FootnoteReference"/>
        </w:rPr>
        <w:footnoteRef/>
      </w:r>
      <w:r>
        <w:t xml:space="preserve"> Π.Δ. </w:t>
      </w:r>
      <w:r w:rsidRPr="003B15F5">
        <w:t>611</w:t>
      </w:r>
      <w:r>
        <w:t>/</w:t>
      </w:r>
      <w:r w:rsidRPr="003B15F5">
        <w:t>1977</w:t>
      </w:r>
      <w:r>
        <w:t>, οπ.π., αρθρ. 28. Ειδικότερα, εισήχθησαν διαγωνισμοί τριών ειδών: ειδικοί, νομαρχιακοί και κοινοί, ενώ αρμόδια για την προετοιμασία και διεξαγωγή τους ήταν η Κ.Ε.Δ., αν και οι ειδικοί ξέφευγαν της εποπτείας της. Βλ. σχετ.: Σπανού (1995, σ. 80).</w:t>
      </w:r>
    </w:p>
  </w:footnote>
  <w:footnote w:id="31">
    <w:p w:rsidR="0068108F" w:rsidRDefault="0068108F" w:rsidP="002C7A23">
      <w:pPr>
        <w:pStyle w:val="FootnoteText"/>
      </w:pPr>
      <w:r>
        <w:rPr>
          <w:rStyle w:val="FootnoteReference"/>
        </w:rPr>
        <w:footnoteRef/>
      </w:r>
      <w:r>
        <w:t xml:space="preserve"> Π.Δ. </w:t>
      </w:r>
      <w:r w:rsidRPr="003B15F5">
        <w:t>611</w:t>
      </w:r>
      <w:r>
        <w:t>/</w:t>
      </w:r>
      <w:r w:rsidRPr="003B15F5">
        <w:t>1977</w:t>
      </w:r>
      <w:r>
        <w:t xml:space="preserve">, οπ.π., αρθρ. 47-50. </w:t>
      </w:r>
    </w:p>
  </w:footnote>
  <w:footnote w:id="32">
    <w:p w:rsidR="0068108F" w:rsidRDefault="0068108F" w:rsidP="00244D11">
      <w:pPr>
        <w:pStyle w:val="FootnoteText"/>
      </w:pPr>
      <w:r>
        <w:rPr>
          <w:rStyle w:val="FootnoteReference"/>
        </w:rPr>
        <w:footnoteRef/>
      </w:r>
      <w:r>
        <w:t xml:space="preserve"> Ν. 1320/1983, «</w:t>
      </w:r>
      <w:r w:rsidRPr="00244D11">
        <w:t>Πρόσληψη στο Δημόσιο Τομέα</w:t>
      </w:r>
      <w:r>
        <w:t>…», ΦΕΚ 6</w:t>
      </w:r>
      <w:r w:rsidRPr="00244D11">
        <w:rPr>
          <w:vertAlign w:val="superscript"/>
        </w:rPr>
        <w:t>Α</w:t>
      </w:r>
      <w:r>
        <w:t>.</w:t>
      </w:r>
    </w:p>
  </w:footnote>
  <w:footnote w:id="33">
    <w:p w:rsidR="0068108F" w:rsidRDefault="0068108F">
      <w:pPr>
        <w:pStyle w:val="FootnoteText"/>
      </w:pPr>
      <w:r>
        <w:rPr>
          <w:rStyle w:val="FootnoteReference"/>
        </w:rPr>
        <w:footnoteRef/>
      </w:r>
      <w:r>
        <w:t xml:space="preserve"> Ν. 1320/1983, οπ.π., παρ. 4, αρθρ. 1.</w:t>
      </w:r>
    </w:p>
  </w:footnote>
  <w:footnote w:id="34">
    <w:p w:rsidR="0068108F" w:rsidRDefault="0068108F">
      <w:pPr>
        <w:pStyle w:val="FootnoteText"/>
      </w:pPr>
      <w:r>
        <w:rPr>
          <w:rStyle w:val="FootnoteReference"/>
        </w:rPr>
        <w:footnoteRef/>
      </w:r>
      <w:r>
        <w:t xml:space="preserve"> Ν. 1320/1983, οπ.π., αρθρ. 6.</w:t>
      </w:r>
    </w:p>
  </w:footnote>
  <w:footnote w:id="35">
    <w:p w:rsidR="0068108F" w:rsidRDefault="0068108F">
      <w:pPr>
        <w:pStyle w:val="FootnoteText"/>
      </w:pPr>
      <w:r w:rsidRPr="003526C4">
        <w:rPr>
          <w:rStyle w:val="FootnoteReference"/>
        </w:rPr>
        <w:footnoteRef/>
      </w:r>
      <w:r w:rsidRPr="003526C4">
        <w:t xml:space="preserve"> Η τριμελής επιτροπή Υπουργών είχε καταργηθεί. Βλ. σχετ.: </w:t>
      </w:r>
      <w:r w:rsidRPr="00F117B8">
        <w:t>ΠΥΣ 97</w:t>
      </w:r>
      <w:r>
        <w:t>.1985, ΦΕΚ 144</w:t>
      </w:r>
      <w:r w:rsidRPr="00F117B8">
        <w:rPr>
          <w:vertAlign w:val="superscript"/>
        </w:rPr>
        <w:t>Α</w:t>
      </w:r>
      <w:r>
        <w:t>.</w:t>
      </w:r>
    </w:p>
  </w:footnote>
  <w:footnote w:id="36">
    <w:p w:rsidR="0068108F" w:rsidRDefault="0068108F">
      <w:pPr>
        <w:pStyle w:val="FootnoteText"/>
      </w:pPr>
      <w:r>
        <w:rPr>
          <w:rStyle w:val="FootnoteReference"/>
        </w:rPr>
        <w:footnoteRef/>
      </w:r>
      <w:r>
        <w:t xml:space="preserve"> </w:t>
      </w:r>
      <w:r w:rsidRPr="00BF41F0">
        <w:t>Ν. 1735</w:t>
      </w:r>
      <w:r>
        <w:t>/</w:t>
      </w:r>
      <w:r w:rsidRPr="00BF41F0">
        <w:t>1987</w:t>
      </w:r>
      <w:r>
        <w:t>, «Προσλήψεις στο δημόσιο τομέα...», ΦΕΚ 195</w:t>
      </w:r>
      <w:r w:rsidRPr="00BF41F0">
        <w:rPr>
          <w:vertAlign w:val="superscript"/>
        </w:rPr>
        <w:t>Α</w:t>
      </w:r>
      <w:r>
        <w:t>, αρθρ. 2.</w:t>
      </w:r>
    </w:p>
  </w:footnote>
  <w:footnote w:id="37">
    <w:p w:rsidR="0068108F" w:rsidRDefault="0068108F">
      <w:pPr>
        <w:pStyle w:val="FootnoteText"/>
      </w:pPr>
      <w:r>
        <w:rPr>
          <w:rStyle w:val="FootnoteReference"/>
        </w:rPr>
        <w:footnoteRef/>
      </w:r>
      <w:r>
        <w:t xml:space="preserve"> </w:t>
      </w:r>
      <w:r w:rsidRPr="00BF41F0">
        <w:t>Ν. 1943</w:t>
      </w:r>
      <w:r>
        <w:t>/</w:t>
      </w:r>
      <w:r w:rsidRPr="00BF41F0">
        <w:t>1991</w:t>
      </w:r>
      <w:r>
        <w:t>, «Εκσυγχρονισμός της οργάνωσης και λειτουργίας της δημόσιας διοίκησης…», ΦΕΚ 50</w:t>
      </w:r>
      <w:r w:rsidRPr="00BF41F0">
        <w:rPr>
          <w:vertAlign w:val="superscript"/>
        </w:rPr>
        <w:t>Α</w:t>
      </w:r>
      <w:r>
        <w:t>, αρθρ. 14.</w:t>
      </w:r>
    </w:p>
  </w:footnote>
  <w:footnote w:id="38">
    <w:p w:rsidR="0068108F" w:rsidRDefault="0068108F">
      <w:pPr>
        <w:pStyle w:val="FootnoteText"/>
      </w:pPr>
      <w:r>
        <w:rPr>
          <w:rStyle w:val="FootnoteReference"/>
        </w:rPr>
        <w:footnoteRef/>
      </w:r>
      <w:r>
        <w:t xml:space="preserve"> Π</w:t>
      </w:r>
      <w:r w:rsidRPr="00EE748C">
        <w:t xml:space="preserve">.χ. κατοχή μεταπτυχιακού </w:t>
      </w:r>
      <w:r>
        <w:t xml:space="preserve">τίτλου σπουδών ή εντοπιότητα. </w:t>
      </w:r>
    </w:p>
  </w:footnote>
  <w:footnote w:id="39">
    <w:p w:rsidR="0068108F" w:rsidRDefault="0068108F">
      <w:pPr>
        <w:pStyle w:val="FootnoteText"/>
      </w:pPr>
      <w:r>
        <w:rPr>
          <w:rStyle w:val="FootnoteReference"/>
        </w:rPr>
        <w:footnoteRef/>
      </w:r>
      <w:r>
        <w:t xml:space="preserve"> </w:t>
      </w:r>
      <w:r w:rsidRPr="00BF41F0">
        <w:t>Ν. 1943</w:t>
      </w:r>
      <w:r>
        <w:t>/</w:t>
      </w:r>
      <w:r w:rsidRPr="00BF41F0">
        <w:t>1991</w:t>
      </w:r>
      <w:r>
        <w:t>, οπ.π., παρ. 2 αρθρ. 15.</w:t>
      </w:r>
    </w:p>
  </w:footnote>
  <w:footnote w:id="40">
    <w:p w:rsidR="0068108F" w:rsidRDefault="0068108F">
      <w:pPr>
        <w:pStyle w:val="FootnoteText"/>
      </w:pPr>
      <w:r>
        <w:rPr>
          <w:rStyle w:val="FootnoteReference"/>
        </w:rPr>
        <w:footnoteRef/>
      </w:r>
      <w:r>
        <w:t xml:space="preserve"> Ν.Δ. 340/1976, «Περί τροποποιήσεως και συμπληρώσεως των περί της Αγροφυλακής και των Σωμάτων Ασφαλείας ισχυουσών διατάξεων…», ΦΕΚ 136</w:t>
      </w:r>
      <w:r w:rsidRPr="00F92DA7">
        <w:rPr>
          <w:vertAlign w:val="superscript"/>
        </w:rPr>
        <w:t>Α</w:t>
      </w:r>
      <w:r>
        <w:t>, αρθρ. 2.</w:t>
      </w:r>
    </w:p>
  </w:footnote>
  <w:footnote w:id="41">
    <w:p w:rsidR="0068108F" w:rsidRDefault="0068108F">
      <w:pPr>
        <w:pStyle w:val="FootnoteText"/>
      </w:pPr>
      <w:r>
        <w:rPr>
          <w:rStyle w:val="FootnoteReference"/>
        </w:rPr>
        <w:footnoteRef/>
      </w:r>
      <w:r>
        <w:t xml:space="preserve"> Ν. 993/1979, «</w:t>
      </w:r>
      <w:r w:rsidRPr="00777DF3">
        <w:t>Περί του επί συμβάσει εργασί</w:t>
      </w:r>
      <w:r>
        <w:t>α</w:t>
      </w:r>
      <w:r w:rsidRPr="00777DF3">
        <w:t>ς ιδιωτικού δικαίου</w:t>
      </w:r>
      <w:r>
        <w:t>…», ΦΕΚ 281</w:t>
      </w:r>
      <w:r w:rsidRPr="00777DF3">
        <w:rPr>
          <w:vertAlign w:val="superscript"/>
        </w:rPr>
        <w:t>Α</w:t>
      </w:r>
      <w:r>
        <w:t>, αρθρ. 1 και παρ. 3 αρθρ. 5.</w:t>
      </w:r>
    </w:p>
  </w:footnote>
  <w:footnote w:id="42">
    <w:p w:rsidR="0068108F" w:rsidRDefault="0068108F">
      <w:pPr>
        <w:pStyle w:val="FootnoteText"/>
      </w:pPr>
      <w:r>
        <w:rPr>
          <w:rStyle w:val="FootnoteReference"/>
        </w:rPr>
        <w:footnoteRef/>
      </w:r>
      <w:r>
        <w:t xml:space="preserve"> Ν. 1256/1982, «Για την πολυθεσία...» ΦΕΚ 65</w:t>
      </w:r>
      <w:r w:rsidRPr="002E7703">
        <w:rPr>
          <w:vertAlign w:val="superscript"/>
        </w:rPr>
        <w:t>Α</w:t>
      </w:r>
      <w:r>
        <w:t>, παρ. 2 αρθρ. 12.</w:t>
      </w:r>
    </w:p>
  </w:footnote>
  <w:footnote w:id="43">
    <w:p w:rsidR="0068108F" w:rsidRDefault="0068108F" w:rsidP="002E7703">
      <w:pPr>
        <w:pStyle w:val="FootnoteText"/>
      </w:pPr>
      <w:r>
        <w:rPr>
          <w:rStyle w:val="FootnoteReference"/>
        </w:rPr>
        <w:footnoteRef/>
      </w:r>
      <w:r>
        <w:t xml:space="preserve"> </w:t>
      </w:r>
      <w:r w:rsidRPr="00777DF3">
        <w:t>Ν. 1476</w:t>
      </w:r>
      <w:r>
        <w:t>/</w:t>
      </w:r>
      <w:r w:rsidRPr="00777DF3">
        <w:t xml:space="preserve">1984, </w:t>
      </w:r>
      <w:r>
        <w:t>«</w:t>
      </w:r>
      <w:r w:rsidRPr="00777DF3">
        <w:t>Διορισμός σε μόνιμες θέσεις προσωπικού με σ</w:t>
      </w:r>
      <w:r>
        <w:t>χέση εργασίας ιδιωτικού δικαίου...»</w:t>
      </w:r>
      <w:r w:rsidRPr="00777DF3">
        <w:t>, ΦΕΚ 136</w:t>
      </w:r>
      <w:r w:rsidRPr="00777DF3">
        <w:rPr>
          <w:vertAlign w:val="superscript"/>
        </w:rPr>
        <w:t>Α</w:t>
      </w:r>
      <w:r>
        <w:t>.</w:t>
      </w:r>
    </w:p>
  </w:footnote>
  <w:footnote w:id="44">
    <w:p w:rsidR="0068108F" w:rsidRDefault="0068108F">
      <w:pPr>
        <w:pStyle w:val="FootnoteText"/>
      </w:pPr>
      <w:r>
        <w:rPr>
          <w:rStyle w:val="FootnoteReference"/>
        </w:rPr>
        <w:footnoteRef/>
      </w:r>
      <w:r>
        <w:t xml:space="preserve"> </w:t>
      </w:r>
      <w:r w:rsidRPr="002E7703">
        <w:t xml:space="preserve">Υπουργείο Προεδρίας της Κυβέρνησης (1991), </w:t>
      </w:r>
      <w:r>
        <w:t>«Δελτίο</w:t>
      </w:r>
      <w:r w:rsidRPr="002E7703">
        <w:t xml:space="preserve"> Στατιστικών Στοιχείων Προσωπικού του  Δημόσιου Τομέα</w:t>
      </w:r>
      <w:r>
        <w:t>»</w:t>
      </w:r>
      <w:r w:rsidRPr="002E7703">
        <w:t>, Απογραφή 31-12-1991, σελ.: 9.</w:t>
      </w:r>
      <w:r>
        <w:t xml:space="preserve"> Σύμφωνα με τα στοιχεία του  ίδιου Δελτίου (σελ.: 10), ο αριθμός των μονίμων υπαλλήλων αυξήθηκε κατά 38,4% στα Υπουργεία, 32,8% στα Ν.Π.Δ.Δ. και 52% στους Ο.Τ.Α. </w:t>
      </w:r>
      <w:r w:rsidRPr="00A64158">
        <w:t>μεταξύ</w:t>
      </w:r>
      <w:r>
        <w:t xml:space="preserve"> της περιόδου 1.1.1985-1.1.1986. Ο δε αριθμός των τακτικών υπαλλήλων </w:t>
      </w:r>
      <w:r w:rsidRPr="00A64158">
        <w:t xml:space="preserve">(μονίμων και ιδιωτικού δικαίου αορίστου χρόνου) αυξήθηκε στα Υπουργεία κατά 7%, στα Ν.Π.Δ.Δ. κατά </w:t>
      </w:r>
      <w:r>
        <w:t>5,1% και στους Ο.Τ.Α κατά 12,2%</w:t>
      </w:r>
      <w:r w:rsidRPr="00A64158">
        <w:t xml:space="preserve"> </w:t>
      </w:r>
      <w:r>
        <w:t>στην ίδια χρονική περίοδο.</w:t>
      </w:r>
    </w:p>
  </w:footnote>
  <w:footnote w:id="45">
    <w:p w:rsidR="0068108F" w:rsidRDefault="0068108F">
      <w:pPr>
        <w:pStyle w:val="FootnoteText"/>
      </w:pPr>
      <w:r>
        <w:rPr>
          <w:rStyle w:val="FootnoteReference"/>
        </w:rPr>
        <w:footnoteRef/>
      </w:r>
      <w:r>
        <w:t xml:space="preserve"> Ν. </w:t>
      </w:r>
      <w:r w:rsidRPr="00D65636">
        <w:t>1874</w:t>
      </w:r>
      <w:r>
        <w:t>/</w:t>
      </w:r>
      <w:r w:rsidRPr="00D65636">
        <w:t xml:space="preserve">1990, </w:t>
      </w:r>
      <w:r>
        <w:t>«</w:t>
      </w:r>
      <w:r w:rsidRPr="00D65636">
        <w:t>Κύρωση Υπουργικής Απόφασης</w:t>
      </w:r>
      <w:r>
        <w:t>…»,</w:t>
      </w:r>
      <w:r w:rsidRPr="00D65636">
        <w:t xml:space="preserve"> ΦΕΚ</w:t>
      </w:r>
      <w:r>
        <w:t xml:space="preserve"> </w:t>
      </w:r>
      <w:r w:rsidRPr="00D65636">
        <w:t>18</w:t>
      </w:r>
      <w:r w:rsidRPr="00D65636">
        <w:rPr>
          <w:vertAlign w:val="superscript"/>
        </w:rPr>
        <w:t>Α</w:t>
      </w:r>
      <w:r>
        <w:t>.</w:t>
      </w:r>
    </w:p>
  </w:footnote>
  <w:footnote w:id="46">
    <w:p w:rsidR="0068108F" w:rsidRDefault="0068108F">
      <w:pPr>
        <w:pStyle w:val="FootnoteText"/>
      </w:pPr>
      <w:r>
        <w:rPr>
          <w:rStyle w:val="FootnoteReference"/>
        </w:rPr>
        <w:footnoteRef/>
      </w:r>
      <w:r>
        <w:t xml:space="preserve"> </w:t>
      </w:r>
      <w:r w:rsidRPr="00040724">
        <w:t>Ν. 2190</w:t>
      </w:r>
      <w:r>
        <w:t>/</w:t>
      </w:r>
      <w:r w:rsidRPr="00040724">
        <w:t>1994</w:t>
      </w:r>
      <w:r>
        <w:t>,</w:t>
      </w:r>
      <w:r w:rsidRPr="00040724">
        <w:t xml:space="preserve"> «Σύσταση ανεξάρτητης αρχής για την επιλογή προσωπικού και ρύθμιση θεμάτων διοίκησης»</w:t>
      </w:r>
      <w:r>
        <w:t>, ΦΕΚ 28</w:t>
      </w:r>
      <w:r w:rsidRPr="00AE3A90">
        <w:rPr>
          <w:vertAlign w:val="superscript"/>
        </w:rPr>
        <w:t>Α</w:t>
      </w:r>
      <w:r w:rsidRPr="00040724">
        <w:t>.</w:t>
      </w:r>
    </w:p>
  </w:footnote>
  <w:footnote w:id="47">
    <w:p w:rsidR="0068108F" w:rsidRDefault="0068108F" w:rsidP="00AE3A90">
      <w:pPr>
        <w:pStyle w:val="FootnoteText"/>
      </w:pPr>
      <w:r>
        <w:rPr>
          <w:rStyle w:val="FootnoteReference"/>
        </w:rPr>
        <w:footnoteRef/>
      </w:r>
      <w:r>
        <w:t xml:space="preserve"> Όπως ισχύει. Το πεδίο αποστολής του διευρύνθηκε από τις διατάξεις του Ν. 3812/2009, </w:t>
      </w:r>
      <w:r w:rsidRPr="00AE3A90">
        <w:t xml:space="preserve">«Αναμόρφωση συστήματος προσλήψεων στο δημόσιο τομέα </w:t>
      </w:r>
      <w:r>
        <w:t>κ.α.</w:t>
      </w:r>
      <w:r w:rsidRPr="00AE3A90">
        <w:t>»</w:t>
      </w:r>
      <w:r>
        <w:t>, ΦΕΚ</w:t>
      </w:r>
      <w:r w:rsidRPr="00AE3A90">
        <w:t xml:space="preserve"> 234</w:t>
      </w:r>
      <w:r w:rsidRPr="00AE3A90">
        <w:rPr>
          <w:vertAlign w:val="superscript"/>
        </w:rPr>
        <w:t>Α</w:t>
      </w:r>
      <w:r>
        <w:t>.</w:t>
      </w:r>
    </w:p>
  </w:footnote>
  <w:footnote w:id="48">
    <w:p w:rsidR="0068108F" w:rsidRDefault="0068108F" w:rsidP="003A2E4F">
      <w:pPr>
        <w:pStyle w:val="FootnoteText"/>
      </w:pPr>
      <w:r>
        <w:rPr>
          <w:rStyle w:val="FootnoteReference"/>
        </w:rPr>
        <w:footnoteRef/>
      </w:r>
      <w:r>
        <w:t xml:space="preserve"> Επίσης: Ν. </w:t>
      </w:r>
      <w:r w:rsidRPr="00040724">
        <w:t>2190</w:t>
      </w:r>
      <w:r>
        <w:t>/</w:t>
      </w:r>
      <w:r w:rsidRPr="00040724">
        <w:t>1994</w:t>
      </w:r>
      <w:r>
        <w:t>, οπ.π., αρθρ. 14.</w:t>
      </w:r>
    </w:p>
  </w:footnote>
  <w:footnote w:id="49">
    <w:p w:rsidR="0068108F" w:rsidRDefault="0068108F">
      <w:pPr>
        <w:pStyle w:val="FootnoteText"/>
      </w:pPr>
      <w:r>
        <w:rPr>
          <w:rStyle w:val="FootnoteReference"/>
        </w:rPr>
        <w:footnoteRef/>
      </w:r>
      <w:r>
        <w:t xml:space="preserve"> Ενδεικτικές είναι οι περιπτώσεις της Δημοτικής Αστυνομίας και των ΚΕΠ. Βλ. σχετ.: </w:t>
      </w:r>
      <w:r w:rsidRPr="0029028D">
        <w:t>Συνήγορος του Πολίτη (2006</w:t>
      </w:r>
      <w:r>
        <w:t>, σσ. 79-80) και Σπανού (2011, σ. 53).</w:t>
      </w:r>
    </w:p>
  </w:footnote>
  <w:footnote w:id="50">
    <w:p w:rsidR="0068108F" w:rsidRDefault="0068108F" w:rsidP="00E7159E">
      <w:pPr>
        <w:pStyle w:val="FootnoteText"/>
      </w:pPr>
      <w:r>
        <w:rPr>
          <w:rStyle w:val="FootnoteReference"/>
        </w:rPr>
        <w:footnoteRef/>
      </w:r>
      <w:r>
        <w:t xml:space="preserve"> Ν. 2738/19</w:t>
      </w:r>
      <w:r w:rsidRPr="00405196">
        <w:t>99</w:t>
      </w:r>
      <w:r>
        <w:t>, «</w:t>
      </w:r>
      <w:r>
        <w:rPr>
          <w:bCs/>
        </w:rPr>
        <w:t>Σ</w:t>
      </w:r>
      <w:r w:rsidRPr="00405196">
        <w:rPr>
          <w:bCs/>
        </w:rPr>
        <w:t>υλλογικές διαπραγματεύσεις στην δημόσια διοίκηση, μονιμοποιήσεις συμβασιούχων αορίστου χρόνου</w:t>
      </w:r>
      <w:r>
        <w:rPr>
          <w:bCs/>
        </w:rPr>
        <w:t>…</w:t>
      </w:r>
      <w:r>
        <w:t xml:space="preserve">», </w:t>
      </w:r>
      <w:r w:rsidRPr="00405196">
        <w:t>ΦΕΚ</w:t>
      </w:r>
      <w:r>
        <w:t xml:space="preserve"> </w:t>
      </w:r>
      <w:r w:rsidRPr="00405196">
        <w:t>180</w:t>
      </w:r>
      <w:r w:rsidRPr="003A2E4F">
        <w:rPr>
          <w:vertAlign w:val="superscript"/>
        </w:rPr>
        <w:t>Α</w:t>
      </w:r>
      <w:r>
        <w:t xml:space="preserve">, αρθρ. 14. </w:t>
      </w:r>
    </w:p>
  </w:footnote>
  <w:footnote w:id="51">
    <w:p w:rsidR="0068108F" w:rsidRDefault="0068108F" w:rsidP="00E7159E">
      <w:pPr>
        <w:pStyle w:val="FootnoteText"/>
      </w:pPr>
      <w:r>
        <w:rPr>
          <w:rStyle w:val="FootnoteReference"/>
        </w:rPr>
        <w:footnoteRef/>
      </w:r>
      <w:r>
        <w:t xml:space="preserve"> Ν. 3728/2008, «Υπηρεσία Ε</w:t>
      </w:r>
      <w:r w:rsidRPr="00CA111B">
        <w:t xml:space="preserve">ποπτείας </w:t>
      </w:r>
      <w:r>
        <w:t>Α</w:t>
      </w:r>
      <w:r w:rsidRPr="00CA111B">
        <w:t>γοράς</w:t>
      </w:r>
      <w:r>
        <w:t>...», ΦΕΚ 258</w:t>
      </w:r>
      <w:r w:rsidRPr="00156A6B">
        <w:rPr>
          <w:vertAlign w:val="superscript"/>
        </w:rPr>
        <w:t>Α</w:t>
      </w:r>
      <w:r>
        <w:t>, αρθρ. 25.</w:t>
      </w:r>
    </w:p>
  </w:footnote>
  <w:footnote w:id="52">
    <w:p w:rsidR="0068108F" w:rsidRDefault="0068108F">
      <w:pPr>
        <w:pStyle w:val="FootnoteText"/>
      </w:pPr>
      <w:r>
        <w:rPr>
          <w:rStyle w:val="FootnoteReference"/>
        </w:rPr>
        <w:footnoteRef/>
      </w:r>
      <w:r>
        <w:t xml:space="preserve"> Π.χ. </w:t>
      </w:r>
      <w:r w:rsidRPr="0029028D">
        <w:t xml:space="preserve">Συμβάσεις ορισμένου χρόνου και έργου που </w:t>
      </w:r>
      <w:r>
        <w:t xml:space="preserve">όμως </w:t>
      </w:r>
      <w:r w:rsidRPr="0029028D">
        <w:t>υπέκρυπταν σχέση εξαρτημένης εργασίας</w:t>
      </w:r>
      <w:r>
        <w:t xml:space="preserve"> και δημιουργούσαν πιέσεις «μονιμοποίησης». Πρακτικά, εξασφάλιζαν εμπειρία που προσαύξανε προδήλως προνομιακά τη βαθμολογία για θέση του ίδιου φορέα (40% επιπλέον) σε επόμενο διαγωνισμό μέσω Α.Σ.Ε.Π. Βλ. σχετ.: Ν. 3051/2002, «</w:t>
      </w:r>
      <w:r w:rsidRPr="00C839DE">
        <w:t>Συνταγματικά</w:t>
      </w:r>
      <w:r>
        <w:t xml:space="preserve"> κατοχυρωμένες ανεξάρτητες αρχές...» ΦΕΚ 220</w:t>
      </w:r>
      <w:r w:rsidRPr="00C839DE">
        <w:rPr>
          <w:vertAlign w:val="superscript"/>
        </w:rPr>
        <w:t>Α</w:t>
      </w:r>
      <w:r>
        <w:t>,  παρ. 2 αρθρ. 7. Επίσης: Α.Σ.Ε.Π. (2009, σσ. 80-82)</w:t>
      </w:r>
      <w:r>
        <w:sym w:font="Wingdings" w:char="F09E"/>
      </w:r>
      <w:r>
        <w:t xml:space="preserve"> Σπανού (2011, σσ. 55-57).</w:t>
      </w:r>
    </w:p>
  </w:footnote>
  <w:footnote w:id="53">
    <w:p w:rsidR="0068108F" w:rsidRDefault="0068108F" w:rsidP="00451FC3">
      <w:pPr>
        <w:pStyle w:val="FootnoteText"/>
      </w:pPr>
      <w:r>
        <w:rPr>
          <w:rStyle w:val="FootnoteReference"/>
        </w:rPr>
        <w:footnoteRef/>
      </w:r>
      <w:r>
        <w:t xml:space="preserve"> Ν. 3812</w:t>
      </w:r>
      <w:r w:rsidRPr="004A6CB5">
        <w:t>/</w:t>
      </w:r>
      <w:r>
        <w:t>2009, «Αναμόρφωση συστήματος προσλήψεων…», ΦΕΚ 234</w:t>
      </w:r>
      <w:r w:rsidRPr="00451FC3">
        <w:rPr>
          <w:vertAlign w:val="superscript"/>
        </w:rPr>
        <w:t>Α</w:t>
      </w:r>
      <w:r>
        <w:t>, αρθρ. 1.</w:t>
      </w:r>
    </w:p>
  </w:footnote>
  <w:footnote w:id="54">
    <w:p w:rsidR="0068108F" w:rsidRDefault="0068108F">
      <w:pPr>
        <w:pStyle w:val="FootnoteText"/>
      </w:pPr>
      <w:r>
        <w:rPr>
          <w:rStyle w:val="FootnoteReference"/>
        </w:rPr>
        <w:footnoteRef/>
      </w:r>
      <w:r>
        <w:t xml:space="preserve"> Π.χ. δημοτικές επιχειρήσεις ΟΤΑ Α΄ βαθμού.</w:t>
      </w:r>
    </w:p>
  </w:footnote>
  <w:footnote w:id="55">
    <w:p w:rsidR="0068108F" w:rsidRDefault="0068108F" w:rsidP="000163F3">
      <w:pPr>
        <w:pStyle w:val="FootnoteText"/>
      </w:pPr>
      <w:r>
        <w:rPr>
          <w:rStyle w:val="FootnoteReference"/>
        </w:rPr>
        <w:footnoteRef/>
      </w:r>
      <w:r>
        <w:t xml:space="preserve"> </w:t>
      </w:r>
      <w:r w:rsidRPr="00816E37">
        <w:t>Βλ. σχετ.: παρ. 1 αρθρ. 11 Ν. 3833</w:t>
      </w:r>
      <w:r>
        <w:t>/</w:t>
      </w:r>
      <w:r w:rsidRPr="00816E37">
        <w:t>2010</w:t>
      </w:r>
      <w:r>
        <w:t xml:space="preserve"> όπως αντικαταστάθηκε από: </w:t>
      </w:r>
      <w:r w:rsidRPr="00816E37">
        <w:t>παρ. 2 αρθρ. 37 Ν. 3986</w:t>
      </w:r>
      <w:r>
        <w:t>/</w:t>
      </w:r>
      <w:r w:rsidRPr="00816E37">
        <w:t xml:space="preserve">2011 </w:t>
      </w:r>
      <w:r>
        <w:t>«</w:t>
      </w:r>
      <w:r w:rsidRPr="00816E37">
        <w:t>Επείγοντα μέτρα εφαρμογής Μεσοπρόθεσμου Πλαι</w:t>
      </w:r>
      <w:r>
        <w:t>σίου Δημοσιονομικής Στρατηγικής»,</w:t>
      </w:r>
      <w:r w:rsidRPr="00816E37">
        <w:t xml:space="preserve"> ΦΕΚ 152</w:t>
      </w:r>
      <w:r w:rsidRPr="00816E37">
        <w:rPr>
          <w:vertAlign w:val="superscript"/>
        </w:rPr>
        <w:t>Α</w:t>
      </w:r>
      <w:r>
        <w:t>. Ανάλογο μέτρο ποσόστωσης προσλήψεων είχε υιοθετηθεί και με το Ν. 2469/1997 (</w:t>
      </w:r>
      <w:r w:rsidRPr="004F718E">
        <w:t>άρθρο 6</w:t>
      </w:r>
      <w:r>
        <w:t>)</w:t>
      </w:r>
      <w:r w:rsidRPr="004F718E">
        <w:t xml:space="preserve"> </w:t>
      </w:r>
      <w:r>
        <w:t xml:space="preserve">στο πλαίσιο της προσπάθειας εισόδου της χώρας στην οικονομική και νομισματική ένωση, καθώς προβλεπόταν ότι έως τα τέλη του 1999 </w:t>
      </w:r>
      <w:r w:rsidRPr="004F718E">
        <w:t xml:space="preserve">για κάθε μια πρόσληψη θα </w:t>
      </w:r>
      <w:r>
        <w:t xml:space="preserve">έπρεπε </w:t>
      </w:r>
      <w:r w:rsidRPr="004F718E">
        <w:t>να έχουν προηγηθεί πέντε αποχωρήσεις</w:t>
      </w:r>
      <w:r>
        <w:t xml:space="preserve"> (λόγος προσλήψεων – αποχωρήσεων 1:5)</w:t>
      </w:r>
      <w:r w:rsidRPr="004F718E">
        <w:t>.</w:t>
      </w:r>
      <w:r>
        <w:t xml:space="preserve"> Επισημαίνεται η ομοιότητα του μέτρου με αντίστοιχο του 1953.</w:t>
      </w:r>
    </w:p>
  </w:footnote>
  <w:footnote w:id="56">
    <w:p w:rsidR="0068108F" w:rsidRDefault="0068108F" w:rsidP="00134FCD">
      <w:pPr>
        <w:pStyle w:val="FootnoteText"/>
      </w:pPr>
      <w:r>
        <w:rPr>
          <w:rStyle w:val="FootnoteReference"/>
        </w:rPr>
        <w:footnoteRef/>
      </w:r>
      <w:r>
        <w:t xml:space="preserve"> Συναφώς: Ν. 4024/2011, ΦΕΚ 226</w:t>
      </w:r>
      <w:r w:rsidRPr="00BB6867">
        <w:rPr>
          <w:vertAlign w:val="superscript"/>
        </w:rPr>
        <w:t>Α</w:t>
      </w:r>
      <w:r>
        <w:t>΄</w:t>
      </w:r>
      <w:r>
        <w:sym w:font="Wingdings" w:char="F09E"/>
      </w:r>
      <w:r>
        <w:t xml:space="preserve"> </w:t>
      </w:r>
      <w:r w:rsidRPr="00BB6867">
        <w:t>Ν. 4093</w:t>
      </w:r>
      <w:r>
        <w:t>/2012, ΦΕΚ 222</w:t>
      </w:r>
      <w:r w:rsidRPr="00BB6867">
        <w:rPr>
          <w:vertAlign w:val="superscript"/>
        </w:rPr>
        <w:t>Α</w:t>
      </w:r>
      <w:r>
        <w:sym w:font="Wingdings" w:char="F09E"/>
      </w:r>
      <w:r>
        <w:t xml:space="preserve"> Ν</w:t>
      </w:r>
      <w:r w:rsidRPr="00BB6867">
        <w:t>. 4172</w:t>
      </w:r>
      <w:r>
        <w:t>/</w:t>
      </w:r>
      <w:r w:rsidRPr="00BB6867">
        <w:t>2013</w:t>
      </w:r>
      <w:r>
        <w:t>, ΦΕΚ 167</w:t>
      </w:r>
      <w:r w:rsidRPr="00BB6867">
        <w:rPr>
          <w:vertAlign w:val="superscript"/>
        </w:rPr>
        <w:t>Α</w:t>
      </w:r>
      <w:r>
        <w:t>΄.</w:t>
      </w:r>
    </w:p>
  </w:footnote>
  <w:footnote w:id="57">
    <w:p w:rsidR="0068108F" w:rsidRDefault="0068108F">
      <w:pPr>
        <w:pStyle w:val="FootnoteText"/>
      </w:pPr>
      <w:r>
        <w:rPr>
          <w:rStyle w:val="FootnoteReference"/>
        </w:rPr>
        <w:footnoteRef/>
      </w:r>
      <w:r>
        <w:t xml:space="preserve"> Σχετ.: Ν. 4325/2015, ΦΕΚ 47</w:t>
      </w:r>
      <w:r w:rsidRPr="007C6465">
        <w:rPr>
          <w:vertAlign w:val="superscript"/>
        </w:rPr>
        <w:t>Α</w:t>
      </w:r>
      <w:r>
        <w:t>΄, άρθρα 14 και 17-19 (ενδεικτ. εφαρμογή: Υ.Α. οικ. 21389/24-6-2015, ΦΕΚ 1294</w:t>
      </w:r>
      <w:r>
        <w:rPr>
          <w:vertAlign w:val="superscript"/>
        </w:rPr>
        <w:t>Β</w:t>
      </w:r>
      <w:r>
        <w:t>΄).</w:t>
      </w:r>
    </w:p>
  </w:footnote>
  <w:footnote w:id="58">
    <w:p w:rsidR="0068108F" w:rsidRDefault="0068108F">
      <w:pPr>
        <w:pStyle w:val="FootnoteText"/>
      </w:pPr>
      <w:r>
        <w:rPr>
          <w:rStyle w:val="FootnoteReference"/>
        </w:rPr>
        <w:footnoteRef/>
      </w:r>
      <w:r>
        <w:t xml:space="preserve"> Το 2018 ο λόγος προσλήψεων – αποχωρήσεων ορίστηκε σε 1:3.</w:t>
      </w:r>
    </w:p>
  </w:footnote>
  <w:footnote w:id="59">
    <w:p w:rsidR="0068108F" w:rsidRDefault="0068108F">
      <w:pPr>
        <w:pStyle w:val="FootnoteText"/>
      </w:pPr>
      <w:r>
        <w:rPr>
          <w:rStyle w:val="FootnoteReference"/>
        </w:rPr>
        <w:footnoteRef/>
      </w:r>
      <w:r>
        <w:t xml:space="preserve"> Υποπαράγραφος ΙΔ1, Ν. 4152/2013, ΦΕΚ 107</w:t>
      </w:r>
      <w:r w:rsidRPr="003926A6">
        <w:rPr>
          <w:vertAlign w:val="superscript"/>
        </w:rPr>
        <w:t>Α</w:t>
      </w:r>
      <w:r>
        <w:t>΄.</w:t>
      </w:r>
    </w:p>
  </w:footnote>
  <w:footnote w:id="60">
    <w:p w:rsidR="0068108F" w:rsidRDefault="0068108F">
      <w:pPr>
        <w:pStyle w:val="FootnoteText"/>
      </w:pPr>
      <w:r>
        <w:rPr>
          <w:rStyle w:val="FootnoteReference"/>
        </w:rPr>
        <w:footnoteRef/>
      </w:r>
      <w:r>
        <w:t xml:space="preserve"> Όπως επισημαίνεται χαρακτηριστικά: «…</w:t>
      </w:r>
      <w:r w:rsidRPr="00F85F55">
        <w:t>άλλα στοιχεία περιέχονται στο Δελτίο Στατιστικών του Δημόσιου Τομέα, άλλα στην εισηγητική έκθεση του Προϋπολογισμού, άλλα στις καταστάσεις της Εθνικής Στατιστικής Υπηρεσίας και άλλα σε διάφορες υπουργικές ανακοινώσεις</w:t>
      </w:r>
      <w:r>
        <w:t>» (Μακρυδημήτρης, 1999, σ. 248).</w:t>
      </w:r>
    </w:p>
  </w:footnote>
  <w:footnote w:id="61">
    <w:p w:rsidR="0068108F" w:rsidRDefault="0068108F">
      <w:pPr>
        <w:pStyle w:val="FootnoteText"/>
      </w:pPr>
      <w:r>
        <w:rPr>
          <w:rStyle w:val="FootnoteReference"/>
        </w:rPr>
        <w:footnoteRef/>
      </w:r>
      <w:r>
        <w:t xml:space="preserve"> ΚΥΑ </w:t>
      </w:r>
      <w:r w:rsidRPr="00530E1A">
        <w:t>2/37345/0004</w:t>
      </w:r>
      <w:r>
        <w:t>/4.6.2010 (ΦΕΚ 784Β΄/4.6.2010)</w:t>
      </w:r>
      <w:r w:rsidRPr="00530E1A">
        <w:t xml:space="preserve"> </w:t>
      </w:r>
      <w:r>
        <w:t>«Απογραφή προσωπικού του δημοσίου, των Ν.Π.Δ.Δ. και των Ο.Τ.Α α΄ και β΄ βαθμού…».</w:t>
      </w:r>
    </w:p>
  </w:footnote>
  <w:footnote w:id="62">
    <w:p w:rsidR="0068108F" w:rsidRDefault="0068108F">
      <w:pPr>
        <w:pStyle w:val="FootnoteText"/>
      </w:pPr>
      <w:r>
        <w:rPr>
          <w:rStyle w:val="FootnoteReference"/>
        </w:rPr>
        <w:footnoteRef/>
      </w:r>
      <w:r>
        <w:t xml:space="preserve"> </w:t>
      </w:r>
      <w:r w:rsidRPr="0000040C">
        <w:t>Στο παρόν άρθρο επιλέχθηκε να χρησιμοποιηθούν στοιχεία από το μητρώο ανθρώπινου δυναμικού στο δημόσιο για λόγους αξιοπιστίας των δεδομένων έναντι άλλων, παλαιότερων πηγών</w:t>
      </w:r>
      <w:r>
        <w:t>,</w:t>
      </w:r>
      <w:r w:rsidRPr="0000040C">
        <w:t xml:space="preserve"> </w:t>
      </w:r>
      <w:r>
        <w:t>π.χ. δελτίων</w:t>
      </w:r>
      <w:r w:rsidRPr="0000040C">
        <w:t xml:space="preserve"> </w:t>
      </w:r>
      <w:r>
        <w:t>σ</w:t>
      </w:r>
      <w:r w:rsidRPr="0000040C">
        <w:t xml:space="preserve">τατιστικών </w:t>
      </w:r>
      <w:r>
        <w:t>σ</w:t>
      </w:r>
      <w:r w:rsidRPr="0000040C">
        <w:t xml:space="preserve">τοιχείων </w:t>
      </w:r>
      <w:r>
        <w:t>π</w:t>
      </w:r>
      <w:r w:rsidRPr="0000040C">
        <w:t xml:space="preserve">ροσωπικού του  </w:t>
      </w:r>
      <w:r>
        <w:t>δ</w:t>
      </w:r>
      <w:r w:rsidRPr="0000040C">
        <w:t xml:space="preserve">ημόσιου </w:t>
      </w:r>
      <w:r>
        <w:t>τ</w:t>
      </w:r>
      <w:r w:rsidRPr="0000040C">
        <w:t>ομέα</w:t>
      </w:r>
      <w:r>
        <w:t xml:space="preserve"> του Υπουργείου Εσωτερικών.</w:t>
      </w:r>
    </w:p>
  </w:footnote>
  <w:footnote w:id="63">
    <w:p w:rsidR="0068108F" w:rsidRDefault="0068108F">
      <w:pPr>
        <w:pStyle w:val="FootnoteText"/>
      </w:pPr>
      <w:r w:rsidRPr="00F85F55">
        <w:rPr>
          <w:rStyle w:val="FootnoteReference"/>
        </w:rPr>
        <w:footnoteRef/>
      </w:r>
      <w:r w:rsidRPr="00F85F55">
        <w:t xml:space="preserve"> Φορείς κεντρικής/αποκεντρωμένης διοίκησης, ΟΤΑ και νομικών προσώπων δημοσίου δικαίου εποπτείας τους. Εξαιρούνται νομικά πρόσωπα ιδιωτικού δικαίου.</w:t>
      </w:r>
    </w:p>
  </w:footnote>
  <w:footnote w:id="64">
    <w:p w:rsidR="0068108F" w:rsidRDefault="0068108F">
      <w:pPr>
        <w:pStyle w:val="FootnoteText"/>
      </w:pPr>
      <w:r>
        <w:rPr>
          <w:rStyle w:val="FootnoteReference"/>
        </w:rPr>
        <w:footnoteRef/>
      </w:r>
      <w:r>
        <w:t xml:space="preserve"> Βλ. σχετ.: οπ.π. υποσημ. 52.</w:t>
      </w:r>
    </w:p>
  </w:footnote>
  <w:footnote w:id="65">
    <w:p w:rsidR="0068108F" w:rsidRDefault="0068108F">
      <w:pPr>
        <w:pStyle w:val="FootnoteText"/>
      </w:pPr>
      <w:r>
        <w:rPr>
          <w:rStyle w:val="FootnoteReference"/>
        </w:rPr>
        <w:footnoteRef/>
      </w:r>
      <w:r>
        <w:t xml:space="preserve"> Π</w:t>
      </w:r>
      <w:r>
        <w:rPr>
          <w:szCs w:val="23"/>
        </w:rPr>
        <w:t>.χ. μέσω της ποσόστωσης προσλήψεων προσωπικού με βάση τις αποχωρήσεις.</w:t>
      </w:r>
    </w:p>
  </w:footnote>
  <w:footnote w:id="66">
    <w:p w:rsidR="0068108F" w:rsidRDefault="0068108F">
      <w:pPr>
        <w:pStyle w:val="FootnoteText"/>
      </w:pPr>
      <w:r>
        <w:rPr>
          <w:rStyle w:val="FootnoteReference"/>
        </w:rPr>
        <w:footnoteRef/>
      </w:r>
      <w:r>
        <w:t xml:space="preserve"> Παίρνοντας ως δεδομένο ότι δεν έχουν υπάρξει μαζικές αποχωρήσεις, π.χ.</w:t>
      </w:r>
      <w:r w:rsidRPr="0038621B">
        <w:t xml:space="preserve"> </w:t>
      </w:r>
      <w:r>
        <w:t>λόγω συνταξιοδοτήσεων.</w:t>
      </w:r>
    </w:p>
  </w:footnote>
  <w:footnote w:id="67">
    <w:p w:rsidR="0068108F" w:rsidRDefault="0068108F" w:rsidP="00FC7C83">
      <w:pPr>
        <w:pStyle w:val="FootnoteText"/>
      </w:pPr>
      <w:r>
        <w:rPr>
          <w:rStyle w:val="FootnoteReference"/>
        </w:rPr>
        <w:footnoteRef/>
      </w:r>
      <w:r w:rsidRPr="00FC7C83">
        <w:t xml:space="preserve"> </w:t>
      </w:r>
      <w:r>
        <w:t>Οι λεπτομερείς νομικές ρυθμίσεις για την πρόσληψη προσωπικού είχαν ως στόχο την πρόβλεψη και αντιμετώπιση ex ante κάθε πιθανού κενού που θα γινόταν αντικείμενο εκμετάλλευσης. Στην πράξη όμως, η λεπτομερής ρύθμιση δεν απέκλεισε τις απόπειρες ελέγχου των πελατειακών πρακτικών. Βλ</w:t>
      </w:r>
      <w:r w:rsidRPr="005A12D1">
        <w:t xml:space="preserve">. </w:t>
      </w:r>
      <w:r>
        <w:t>σχετ</w:t>
      </w:r>
      <w:r w:rsidRPr="005A12D1">
        <w:t xml:space="preserve">.: </w:t>
      </w:r>
      <w:r>
        <w:t>Σπανού</w:t>
      </w:r>
      <w:r w:rsidRPr="005A12D1">
        <w:t xml:space="preserve"> (1995, </w:t>
      </w:r>
      <w:r>
        <w:t>σσ</w:t>
      </w:r>
      <w:r w:rsidRPr="005A12D1">
        <w:t>. 91</w:t>
      </w:r>
      <w:r>
        <w:t>-</w:t>
      </w:r>
      <w:r w:rsidRPr="005A12D1">
        <w:t>92</w:t>
      </w:r>
      <w:r>
        <w:t>)</w:t>
      </w:r>
      <w:r w:rsidRPr="005A12D1">
        <w:t>.</w:t>
      </w:r>
    </w:p>
  </w:footnote>
  <w:footnote w:id="68">
    <w:p w:rsidR="0068108F" w:rsidRDefault="0068108F">
      <w:pPr>
        <w:pStyle w:val="FootnoteText"/>
      </w:pPr>
      <w:r>
        <w:rPr>
          <w:rStyle w:val="FootnoteReference"/>
        </w:rPr>
        <w:footnoteRef/>
      </w:r>
      <w:r>
        <w:t xml:space="preserve"> Είναι χαρακτηριστικό ότι ο</w:t>
      </w:r>
      <w:r w:rsidRPr="00AF4904">
        <w:t xml:space="preserve"> </w:t>
      </w:r>
      <w:r>
        <w:t xml:space="preserve">ιδρυτικός νόμος του Α.Σ.Ε.Π. (Ν. </w:t>
      </w:r>
      <w:r w:rsidRPr="00AF4904">
        <w:t>2190/1994</w:t>
      </w:r>
      <w:r>
        <w:t>)</w:t>
      </w:r>
      <w:r w:rsidRPr="00AF4904">
        <w:t xml:space="preserve"> </w:t>
      </w:r>
      <w:r>
        <w:t>έχει τροποποιηθεί</w:t>
      </w:r>
      <w:r w:rsidRPr="00AF4904">
        <w:t xml:space="preserve"> 137 φορές</w:t>
      </w:r>
      <w:r>
        <w:t xml:space="preserve"> δίχως οι λόγοι να συνδέονται με την εξυπηρέτηση αναγκών των δημοσίων υπηρεσιών. Σχετ.:</w:t>
      </w:r>
      <w:r w:rsidRPr="00AF4904">
        <w:t xml:space="preserve"> </w:t>
      </w:r>
      <w:r>
        <w:t>Α.Σ.Ε.Π. (</w:t>
      </w:r>
      <w:r w:rsidRPr="00AF4904">
        <w:t>2016, σ. 79)</w:t>
      </w:r>
      <w:r>
        <w:t>.</w:t>
      </w:r>
    </w:p>
  </w:footnote>
  <w:footnote w:id="69">
    <w:p w:rsidR="0068108F" w:rsidRDefault="0068108F">
      <w:pPr>
        <w:pStyle w:val="FootnoteText"/>
      </w:pPr>
      <w:r>
        <w:rPr>
          <w:rStyle w:val="FootnoteReference"/>
        </w:rPr>
        <w:footnoteRef/>
      </w:r>
      <w:r>
        <w:t xml:space="preserve"> Όπως επισημαίνεται, αντί των επιχειρησιακών αναγκών, οι πελατειακές προτιμήσεις προσδιόριζαν την οργανωσιακή ανάπτυξη (Τσέκος</w:t>
      </w:r>
      <w:r w:rsidRPr="006D27F6">
        <w:t xml:space="preserve">, </w:t>
      </w:r>
      <w:r>
        <w:t>2012, σ. 82).</w:t>
      </w:r>
    </w:p>
  </w:footnote>
  <w:footnote w:id="70">
    <w:p w:rsidR="0068108F" w:rsidRDefault="0068108F" w:rsidP="00547164">
      <w:pPr>
        <w:pStyle w:val="FootnoteText"/>
      </w:pPr>
      <w:r>
        <w:rPr>
          <w:rStyle w:val="FootnoteReference"/>
        </w:rPr>
        <w:footnoteRef/>
      </w:r>
      <w:r>
        <w:t xml:space="preserve"> Ενδεικτικά αναφέρεται ο «άριστος κανόνας προσλήψεων» σύμφωνα με τον οποίο η απασχόληση ενός παραγωγικού συντελεστή πρέπει να αυξάνεται μέχρι του σημείου εξίσωσης του οριακού του προϊόντος με την τιμή του</w:t>
      </w:r>
      <w:r>
        <w:sym w:font="Wingdings" w:char="F09E"/>
      </w:r>
      <w:r>
        <w:t xml:space="preserve"> βλ. σχετ.: </w:t>
      </w:r>
      <w:r w:rsidRPr="001242A1">
        <w:rPr>
          <w:lang w:val="en-US"/>
        </w:rPr>
        <w:t>Scarth</w:t>
      </w:r>
      <w:r w:rsidRPr="001242A1">
        <w:t xml:space="preserve"> </w:t>
      </w:r>
      <w:r>
        <w:t>και</w:t>
      </w:r>
      <w:r w:rsidRPr="001242A1">
        <w:t xml:space="preserve"> Μούτος</w:t>
      </w:r>
      <w:r>
        <w:t xml:space="preserve"> (2011, σσ. 68-68). Ο κανόνας συνιστά ενδεικτικό εργαλείο δεδομένου ότι συχνά προκύπτουν ανυπέρβλητες δυσκολίες προσδιορισμού της αξίας των δημόσιων αγαθών με βάση το μηχανισμό των τιμών.</w:t>
      </w:r>
    </w:p>
  </w:footnote>
  <w:footnote w:id="71">
    <w:p w:rsidR="0068108F" w:rsidRDefault="0068108F">
      <w:pPr>
        <w:pStyle w:val="FootnoteText"/>
      </w:pPr>
      <w:r>
        <w:rPr>
          <w:rStyle w:val="FootnoteReference"/>
        </w:rPr>
        <w:footnoteRef/>
      </w:r>
      <w:r>
        <w:t xml:space="preserve"> Όπως επισημαίνεται: «</w:t>
      </w:r>
      <w:r w:rsidRPr="00547164">
        <w:t>υφίσταται ένας διαχωρισμός μεταξύ ενός επίσημου, ανελαστικού αλλά διαφανούς συστήματος επιλογής και μιας σειράς από εξαιρέσεις που επιτρέπουν να παρακάμπτεται το επίσημο σύστημα για να εξυπηρετηθούν πρακτικές ευνοιοκρατίας</w:t>
      </w:r>
      <w:r>
        <w:t xml:space="preserve">». Βλ. σχετ.: </w:t>
      </w:r>
      <w:r>
        <w:rPr>
          <w:lang w:val="en-US"/>
        </w:rPr>
        <w:t>Spanou</w:t>
      </w:r>
      <w:r w:rsidRPr="00287DCB">
        <w:t xml:space="preserve"> (2012</w:t>
      </w:r>
      <w:r>
        <w:t>, σ. 189</w:t>
      </w:r>
      <w:r w:rsidRPr="00287DCB">
        <w:t>)</w:t>
      </w:r>
      <w:r>
        <w:t>.</w:t>
      </w:r>
    </w:p>
  </w:footnote>
  <w:footnote w:id="72">
    <w:p w:rsidR="0068108F" w:rsidRDefault="0068108F">
      <w:pPr>
        <w:pStyle w:val="FootnoteText"/>
      </w:pPr>
      <w:r>
        <w:rPr>
          <w:rStyle w:val="FootnoteReference"/>
        </w:rPr>
        <w:footnoteRef/>
      </w:r>
      <w:r>
        <w:t xml:space="preserve"> Χαρακτηριστικά αναφέρεται: «</w:t>
      </w:r>
      <w:r w:rsidRPr="00547164">
        <w:t>Επί συνόλου 9.500 περίπου διοικητικών υπαλλήλων του ΙΚΑ σήμερα, οι 4.500 περίπου διορίσθηκαν κυριολεκτικά σε μια νύχτα, χωρίς ουσιαστικό έλεγχο προσόντων, 45 ημέρες προ των εκλογών του 1985 και άλλοι 1.800 περίπου το 1988-89</w:t>
      </w:r>
      <w:r>
        <w:t>». Σχετ.: Μέργος, Γ. (2010), «Που οφείλεται η σημερινή κατάσταση του ΙΚΑ», Οικονομική Καθημερινή, 19 Σεπτεμβρίου, σελ. 6.</w:t>
      </w:r>
    </w:p>
  </w:footnote>
  <w:footnote w:id="73">
    <w:p w:rsidR="0068108F" w:rsidRDefault="0068108F" w:rsidP="00E34CFC">
      <w:pPr>
        <w:pStyle w:val="FootnoteText"/>
      </w:pPr>
      <w:r>
        <w:rPr>
          <w:rStyle w:val="FootnoteReference"/>
        </w:rPr>
        <w:footnoteRef/>
      </w:r>
      <w:r>
        <w:t xml:space="preserve"> </w:t>
      </w:r>
      <w:r w:rsidRPr="00B27A68">
        <w:t xml:space="preserve">Η αναλογική εφαρμογή του </w:t>
      </w:r>
      <w:r>
        <w:t>«</w:t>
      </w:r>
      <w:r w:rsidRPr="00B27A68">
        <w:t xml:space="preserve">νόμου του </w:t>
      </w:r>
      <w:r w:rsidRPr="00B27A68">
        <w:rPr>
          <w:lang w:val="en-US"/>
        </w:rPr>
        <w:t>Gresham</w:t>
      </w:r>
      <w:r>
        <w:t>», σύμφωνα με τον οποίο το «</w:t>
      </w:r>
      <w:r w:rsidRPr="00150BDE">
        <w:t>κακό</w:t>
      </w:r>
      <w:r>
        <w:t>» χρήμα (χαμηλής περιεκτικότητας σε πολύτιμο μέταλλο, άρα μικρής αξίας) εκτοπίζει από την αγορά το αντίστοιχο «</w:t>
      </w:r>
      <w:r w:rsidRPr="00150BDE">
        <w:t>καλό</w:t>
      </w:r>
      <w:r>
        <w:t xml:space="preserve">» χρήμα (υψηλής περιεκτικότητας σε πολύτιμο μέταλλο), </w:t>
      </w:r>
      <w:r w:rsidRPr="00B27A68">
        <w:t>σχετίζεται με την ερμηνεία ενός φαινομένου</w:t>
      </w:r>
      <w:r>
        <w:t>, όταν</w:t>
      </w:r>
      <w:r w:rsidRPr="00B27A68">
        <w:t xml:space="preserve"> κάποιο θε</w:t>
      </w:r>
      <w:r>
        <w:t>τικό χαρακτηριστικό εκτοπίζεται (υποκαθίσταται)</w:t>
      </w:r>
      <w:r w:rsidRPr="00B27A68">
        <w:t xml:space="preserve"> από την είσοδο </w:t>
      </w:r>
      <w:r>
        <w:t>ενός αντίστοιχου αρνητικού</w:t>
      </w:r>
      <w:r w:rsidRPr="00B27A68">
        <w:t>. Ειδικότερα</w:t>
      </w:r>
      <w:r w:rsidRPr="00B27A68">
        <w:rPr>
          <w:lang w:val="en-US"/>
        </w:rPr>
        <w:t xml:space="preserve">: Rolnick </w:t>
      </w:r>
      <w:r>
        <w:t>&amp;</w:t>
      </w:r>
      <w:r w:rsidRPr="00B27A68">
        <w:rPr>
          <w:lang w:val="en-US"/>
        </w:rPr>
        <w:t xml:space="preserve"> Weber (1986</w:t>
      </w:r>
      <w:r w:rsidRPr="00547164">
        <w:rPr>
          <w:lang w:val="en-US"/>
        </w:rPr>
        <w:t xml:space="preserve">, </w:t>
      </w:r>
      <w:r>
        <w:t>σσ</w:t>
      </w:r>
      <w:r w:rsidRPr="00547164">
        <w:rPr>
          <w:lang w:val="en-US"/>
        </w:rPr>
        <w:t>. 185-186</w:t>
      </w:r>
      <w:r w:rsidRPr="00B27A68">
        <w:rPr>
          <w:lang w:val="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A1BFF"/>
    <w:multiLevelType w:val="multilevel"/>
    <w:tmpl w:val="6BEE14D2"/>
    <w:lvl w:ilvl="0">
      <w:start w:val="2"/>
      <w:numFmt w:val="decimal"/>
      <w:lvlText w:val="%1."/>
      <w:lvlJc w:val="left"/>
      <w:pPr>
        <w:ind w:left="450" w:hanging="450"/>
      </w:pPr>
      <w:rPr>
        <w:rFonts w:cs="Times New Roman" w:hint="default"/>
      </w:rPr>
    </w:lvl>
    <w:lvl w:ilvl="1">
      <w:start w:val="1"/>
      <w:numFmt w:val="decimal"/>
      <w:lvlText w:val="%1.%2."/>
      <w:lvlJc w:val="left"/>
      <w:pPr>
        <w:ind w:left="1288" w:hanging="720"/>
      </w:pPr>
      <w:rPr>
        <w:rFonts w:cs="Times New Roman" w:hint="default"/>
      </w:rPr>
    </w:lvl>
    <w:lvl w:ilvl="2">
      <w:start w:val="1"/>
      <w:numFmt w:val="decimal"/>
      <w:lvlText w:val="%1.%2.%3."/>
      <w:lvlJc w:val="left"/>
      <w:pPr>
        <w:ind w:left="1856" w:hanging="720"/>
      </w:pPr>
      <w:rPr>
        <w:rFonts w:cs="Times New Roman" w:hint="default"/>
      </w:rPr>
    </w:lvl>
    <w:lvl w:ilvl="3">
      <w:start w:val="1"/>
      <w:numFmt w:val="decimal"/>
      <w:lvlText w:val="%1.%2.%3.%4."/>
      <w:lvlJc w:val="left"/>
      <w:pPr>
        <w:ind w:left="2784" w:hanging="1080"/>
      </w:pPr>
      <w:rPr>
        <w:rFonts w:cs="Times New Roman" w:hint="default"/>
      </w:rPr>
    </w:lvl>
    <w:lvl w:ilvl="4">
      <w:start w:val="1"/>
      <w:numFmt w:val="decimal"/>
      <w:lvlText w:val="%1.%2.%3.%4.%5."/>
      <w:lvlJc w:val="left"/>
      <w:pPr>
        <w:ind w:left="3712" w:hanging="1440"/>
      </w:pPr>
      <w:rPr>
        <w:rFonts w:cs="Times New Roman" w:hint="default"/>
      </w:rPr>
    </w:lvl>
    <w:lvl w:ilvl="5">
      <w:start w:val="1"/>
      <w:numFmt w:val="decimal"/>
      <w:lvlText w:val="%1.%2.%3.%4.%5.%6."/>
      <w:lvlJc w:val="left"/>
      <w:pPr>
        <w:ind w:left="4280" w:hanging="1440"/>
      </w:pPr>
      <w:rPr>
        <w:rFonts w:cs="Times New Roman" w:hint="default"/>
      </w:rPr>
    </w:lvl>
    <w:lvl w:ilvl="6">
      <w:start w:val="1"/>
      <w:numFmt w:val="decimal"/>
      <w:lvlText w:val="%1.%2.%3.%4.%5.%6.%7."/>
      <w:lvlJc w:val="left"/>
      <w:pPr>
        <w:ind w:left="5208" w:hanging="1800"/>
      </w:pPr>
      <w:rPr>
        <w:rFonts w:cs="Times New Roman" w:hint="default"/>
      </w:rPr>
    </w:lvl>
    <w:lvl w:ilvl="7">
      <w:start w:val="1"/>
      <w:numFmt w:val="decimal"/>
      <w:lvlText w:val="%1.%2.%3.%4.%5.%6.%7.%8."/>
      <w:lvlJc w:val="left"/>
      <w:pPr>
        <w:ind w:left="6136" w:hanging="2160"/>
      </w:pPr>
      <w:rPr>
        <w:rFonts w:cs="Times New Roman" w:hint="default"/>
      </w:rPr>
    </w:lvl>
    <w:lvl w:ilvl="8">
      <w:start w:val="1"/>
      <w:numFmt w:val="decimal"/>
      <w:lvlText w:val="%1.%2.%3.%4.%5.%6.%7.%8.%9."/>
      <w:lvlJc w:val="left"/>
      <w:pPr>
        <w:ind w:left="6704" w:hanging="2160"/>
      </w:pPr>
      <w:rPr>
        <w:rFonts w:cs="Times New Roman" w:hint="default"/>
      </w:rPr>
    </w:lvl>
  </w:abstractNum>
  <w:abstractNum w:abstractNumId="1">
    <w:nsid w:val="035E500A"/>
    <w:multiLevelType w:val="hybridMultilevel"/>
    <w:tmpl w:val="A078C2E8"/>
    <w:lvl w:ilvl="0" w:tplc="8AD0CA78">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
    <w:nsid w:val="0A7422DA"/>
    <w:multiLevelType w:val="multilevel"/>
    <w:tmpl w:val="0408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nsid w:val="0BE04EA7"/>
    <w:multiLevelType w:val="multilevel"/>
    <w:tmpl w:val="774E5776"/>
    <w:lvl w:ilvl="0">
      <w:start w:val="1"/>
      <w:numFmt w:val="decimal"/>
      <w:lvlText w:val="%1."/>
      <w:lvlJc w:val="left"/>
      <w:pPr>
        <w:ind w:left="928" w:hanging="360"/>
      </w:pPr>
      <w:rPr>
        <w:rFonts w:cs="Times New Roman" w:hint="default"/>
      </w:rPr>
    </w:lvl>
    <w:lvl w:ilvl="1">
      <w:start w:val="1"/>
      <w:numFmt w:val="decimal"/>
      <w:pStyle w:val="Heading2"/>
      <w:isLgl/>
      <w:lvlText w:val="%1.%2."/>
      <w:lvlJc w:val="left"/>
      <w:pPr>
        <w:ind w:left="1288" w:hanging="720"/>
      </w:pPr>
      <w:rPr>
        <w:rFonts w:cs="Times New Roman" w:hint="default"/>
      </w:rPr>
    </w:lvl>
    <w:lvl w:ilvl="2">
      <w:start w:val="1"/>
      <w:numFmt w:val="decimal"/>
      <w:pStyle w:val="Heading3"/>
      <w:isLgl/>
      <w:lvlText w:val="%1.%2.%3."/>
      <w:lvlJc w:val="left"/>
      <w:pPr>
        <w:ind w:left="1288" w:hanging="720"/>
      </w:pPr>
      <w:rPr>
        <w:rFonts w:cs="Times New Roman" w:hint="default"/>
      </w:rPr>
    </w:lvl>
    <w:lvl w:ilvl="3">
      <w:start w:val="1"/>
      <w:numFmt w:val="decimal"/>
      <w:isLgl/>
      <w:lvlText w:val="%1.%2.%3.%4."/>
      <w:lvlJc w:val="left"/>
      <w:pPr>
        <w:ind w:left="1648" w:hanging="1080"/>
      </w:pPr>
      <w:rPr>
        <w:rFonts w:cs="Times New Roman" w:hint="default"/>
      </w:rPr>
    </w:lvl>
    <w:lvl w:ilvl="4">
      <w:start w:val="1"/>
      <w:numFmt w:val="decimal"/>
      <w:isLgl/>
      <w:lvlText w:val="%1.%2.%3.%4.%5."/>
      <w:lvlJc w:val="left"/>
      <w:pPr>
        <w:ind w:left="1648" w:hanging="1080"/>
      </w:pPr>
      <w:rPr>
        <w:rFonts w:cs="Times New Roman" w:hint="default"/>
      </w:rPr>
    </w:lvl>
    <w:lvl w:ilvl="5">
      <w:start w:val="1"/>
      <w:numFmt w:val="decimal"/>
      <w:isLgl/>
      <w:lvlText w:val="%1.%2.%3.%4.%5.%6."/>
      <w:lvlJc w:val="left"/>
      <w:pPr>
        <w:ind w:left="2008" w:hanging="1440"/>
      </w:pPr>
      <w:rPr>
        <w:rFonts w:cs="Times New Roman" w:hint="default"/>
      </w:rPr>
    </w:lvl>
    <w:lvl w:ilvl="6">
      <w:start w:val="1"/>
      <w:numFmt w:val="decimal"/>
      <w:isLgl/>
      <w:lvlText w:val="%1.%2.%3.%4.%5.%6.%7."/>
      <w:lvlJc w:val="left"/>
      <w:pPr>
        <w:ind w:left="2008" w:hanging="1440"/>
      </w:pPr>
      <w:rPr>
        <w:rFonts w:cs="Times New Roman" w:hint="default"/>
      </w:rPr>
    </w:lvl>
    <w:lvl w:ilvl="7">
      <w:start w:val="1"/>
      <w:numFmt w:val="decimal"/>
      <w:isLgl/>
      <w:lvlText w:val="%1.%2.%3.%4.%5.%6.%7.%8."/>
      <w:lvlJc w:val="left"/>
      <w:pPr>
        <w:ind w:left="2368" w:hanging="1800"/>
      </w:pPr>
      <w:rPr>
        <w:rFonts w:cs="Times New Roman" w:hint="default"/>
      </w:rPr>
    </w:lvl>
    <w:lvl w:ilvl="8">
      <w:start w:val="1"/>
      <w:numFmt w:val="decimal"/>
      <w:isLgl/>
      <w:lvlText w:val="%1.%2.%3.%4.%5.%6.%7.%8.%9."/>
      <w:lvlJc w:val="left"/>
      <w:pPr>
        <w:ind w:left="2728" w:hanging="2160"/>
      </w:pPr>
      <w:rPr>
        <w:rFonts w:cs="Times New Roman" w:hint="default"/>
      </w:rPr>
    </w:lvl>
  </w:abstractNum>
  <w:abstractNum w:abstractNumId="4">
    <w:nsid w:val="12AE4B56"/>
    <w:multiLevelType w:val="hybridMultilevel"/>
    <w:tmpl w:val="EA7641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3303EF7"/>
    <w:multiLevelType w:val="hybridMultilevel"/>
    <w:tmpl w:val="A140C4F2"/>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6">
    <w:nsid w:val="22F4170B"/>
    <w:multiLevelType w:val="hybridMultilevel"/>
    <w:tmpl w:val="509CDBB6"/>
    <w:lvl w:ilvl="0" w:tplc="92D6A07C">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7">
    <w:nsid w:val="2528227E"/>
    <w:multiLevelType w:val="hybridMultilevel"/>
    <w:tmpl w:val="0534F494"/>
    <w:lvl w:ilvl="0" w:tplc="DE7AAC0E">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8">
    <w:nsid w:val="2EA640E3"/>
    <w:multiLevelType w:val="hybridMultilevel"/>
    <w:tmpl w:val="1826E6EA"/>
    <w:lvl w:ilvl="0" w:tplc="6BA62C50">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9">
    <w:nsid w:val="37ED4EAF"/>
    <w:multiLevelType w:val="multilevel"/>
    <w:tmpl w:val="37065A94"/>
    <w:lvl w:ilvl="0">
      <w:start w:val="4"/>
      <w:numFmt w:val="decimal"/>
      <w:lvlText w:val="%1."/>
      <w:lvlJc w:val="left"/>
      <w:pPr>
        <w:ind w:left="450" w:hanging="450"/>
      </w:pPr>
      <w:rPr>
        <w:rFonts w:cs="Times New Roman" w:hint="default"/>
      </w:rPr>
    </w:lvl>
    <w:lvl w:ilvl="1">
      <w:start w:val="1"/>
      <w:numFmt w:val="decimal"/>
      <w:lvlText w:val="%1.%2."/>
      <w:lvlJc w:val="left"/>
      <w:pPr>
        <w:ind w:left="1288"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880" w:hanging="144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680" w:hanging="2160"/>
      </w:pPr>
      <w:rPr>
        <w:rFonts w:cs="Times New Roman" w:hint="default"/>
      </w:rPr>
    </w:lvl>
    <w:lvl w:ilvl="8">
      <w:start w:val="1"/>
      <w:numFmt w:val="decimal"/>
      <w:lvlText w:val="%1.%2.%3.%4.%5.%6.%7.%8.%9."/>
      <w:lvlJc w:val="left"/>
      <w:pPr>
        <w:ind w:left="5040" w:hanging="2160"/>
      </w:pPr>
      <w:rPr>
        <w:rFonts w:cs="Times New Roman" w:hint="default"/>
      </w:rPr>
    </w:lvl>
  </w:abstractNum>
  <w:abstractNum w:abstractNumId="10">
    <w:nsid w:val="3F027D05"/>
    <w:multiLevelType w:val="multilevel"/>
    <w:tmpl w:val="47E209A0"/>
    <w:lvl w:ilvl="0">
      <w:start w:val="1"/>
      <w:numFmt w:val="decimal"/>
      <w:lvlText w:val="%1."/>
      <w:lvlJc w:val="left"/>
      <w:pPr>
        <w:ind w:left="720" w:hanging="360"/>
      </w:pPr>
      <w:rPr>
        <w:rFonts w:cs="Times New Roman" w:hint="default"/>
      </w:rPr>
    </w:lvl>
    <w:lvl w:ilvl="1">
      <w:start w:val="1"/>
      <w:numFmt w:val="decimal"/>
      <w:isLgl/>
      <w:lvlText w:val="%1.%2."/>
      <w:lvlJc w:val="left"/>
      <w:pPr>
        <w:ind w:left="1288" w:hanging="720"/>
      </w:pPr>
      <w:rPr>
        <w:rFonts w:cs="Times New Roman" w:hint="default"/>
      </w:rPr>
    </w:lvl>
    <w:lvl w:ilvl="2">
      <w:start w:val="1"/>
      <w:numFmt w:val="decimal"/>
      <w:isLgl/>
      <w:lvlText w:val="%1.%2.%3."/>
      <w:lvlJc w:val="left"/>
      <w:pPr>
        <w:ind w:left="1496" w:hanging="720"/>
      </w:pPr>
      <w:rPr>
        <w:rFonts w:cs="Times New Roman" w:hint="default"/>
      </w:rPr>
    </w:lvl>
    <w:lvl w:ilvl="3">
      <w:start w:val="1"/>
      <w:numFmt w:val="decimal"/>
      <w:isLgl/>
      <w:lvlText w:val="%1.%2.%3.%4."/>
      <w:lvlJc w:val="left"/>
      <w:pPr>
        <w:ind w:left="2064" w:hanging="1080"/>
      </w:pPr>
      <w:rPr>
        <w:rFonts w:cs="Times New Roman" w:hint="default"/>
      </w:rPr>
    </w:lvl>
    <w:lvl w:ilvl="4">
      <w:start w:val="1"/>
      <w:numFmt w:val="decimal"/>
      <w:isLgl/>
      <w:lvlText w:val="%1.%2.%3.%4.%5."/>
      <w:lvlJc w:val="left"/>
      <w:pPr>
        <w:ind w:left="2632" w:hanging="1440"/>
      </w:pPr>
      <w:rPr>
        <w:rFonts w:cs="Times New Roman" w:hint="default"/>
      </w:rPr>
    </w:lvl>
    <w:lvl w:ilvl="5">
      <w:start w:val="1"/>
      <w:numFmt w:val="decimal"/>
      <w:isLgl/>
      <w:lvlText w:val="%1.%2.%3.%4.%5.%6."/>
      <w:lvlJc w:val="left"/>
      <w:pPr>
        <w:ind w:left="2840" w:hanging="1440"/>
      </w:pPr>
      <w:rPr>
        <w:rFonts w:cs="Times New Roman" w:hint="default"/>
      </w:rPr>
    </w:lvl>
    <w:lvl w:ilvl="6">
      <w:start w:val="1"/>
      <w:numFmt w:val="decimal"/>
      <w:isLgl/>
      <w:lvlText w:val="%1.%2.%3.%4.%5.%6.%7."/>
      <w:lvlJc w:val="left"/>
      <w:pPr>
        <w:ind w:left="3408" w:hanging="1800"/>
      </w:pPr>
      <w:rPr>
        <w:rFonts w:cs="Times New Roman" w:hint="default"/>
      </w:rPr>
    </w:lvl>
    <w:lvl w:ilvl="7">
      <w:start w:val="1"/>
      <w:numFmt w:val="decimal"/>
      <w:isLgl/>
      <w:lvlText w:val="%1.%2.%3.%4.%5.%6.%7.%8."/>
      <w:lvlJc w:val="left"/>
      <w:pPr>
        <w:ind w:left="3976" w:hanging="2160"/>
      </w:pPr>
      <w:rPr>
        <w:rFonts w:cs="Times New Roman" w:hint="default"/>
      </w:rPr>
    </w:lvl>
    <w:lvl w:ilvl="8">
      <w:start w:val="1"/>
      <w:numFmt w:val="decimal"/>
      <w:isLgl/>
      <w:lvlText w:val="%1.%2.%3.%4.%5.%6.%7.%8.%9."/>
      <w:lvlJc w:val="left"/>
      <w:pPr>
        <w:ind w:left="4184" w:hanging="2160"/>
      </w:pPr>
      <w:rPr>
        <w:rFonts w:cs="Times New Roman" w:hint="default"/>
      </w:rPr>
    </w:lvl>
  </w:abstractNum>
  <w:abstractNum w:abstractNumId="11">
    <w:nsid w:val="3FA273D4"/>
    <w:multiLevelType w:val="multilevel"/>
    <w:tmpl w:val="7C8455D2"/>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2">
    <w:nsid w:val="42934A41"/>
    <w:multiLevelType w:val="multilevel"/>
    <w:tmpl w:val="0408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nsid w:val="4506334A"/>
    <w:multiLevelType w:val="multilevel"/>
    <w:tmpl w:val="CE505A78"/>
    <w:lvl w:ilvl="0">
      <w:start w:val="4"/>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4">
    <w:nsid w:val="50A92B97"/>
    <w:multiLevelType w:val="multilevel"/>
    <w:tmpl w:val="4552E8DE"/>
    <w:lvl w:ilvl="0">
      <w:start w:val="1"/>
      <w:numFmt w:val="decimal"/>
      <w:lvlText w:val="%1."/>
      <w:lvlJc w:val="left"/>
      <w:pPr>
        <w:ind w:left="360" w:hanging="360"/>
      </w:pPr>
      <w:rPr>
        <w:rFonts w:cs="Times New Roman" w:hint="default"/>
      </w:rPr>
    </w:lvl>
    <w:lvl w:ilvl="1">
      <w:start w:val="1"/>
      <w:numFmt w:val="decimal"/>
      <w:lvlText w:val="%1.%2."/>
      <w:lvlJc w:val="left"/>
      <w:pPr>
        <w:ind w:left="1304" w:hanging="567"/>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5">
    <w:nsid w:val="54D06C35"/>
    <w:multiLevelType w:val="multilevel"/>
    <w:tmpl w:val="5DC27248"/>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nsid w:val="5E437495"/>
    <w:multiLevelType w:val="hybridMultilevel"/>
    <w:tmpl w:val="F79EFA22"/>
    <w:lvl w:ilvl="0" w:tplc="047AFBAE">
      <w:numFmt w:val="bullet"/>
      <w:lvlText w:val=""/>
      <w:lvlJc w:val="left"/>
      <w:pPr>
        <w:ind w:left="720" w:hanging="360"/>
      </w:pPr>
      <w:rPr>
        <w:rFonts w:ascii="Symbol" w:eastAsia="Times New Roman"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651C27A4"/>
    <w:multiLevelType w:val="multilevel"/>
    <w:tmpl w:val="6952E826"/>
    <w:lvl w:ilvl="0">
      <w:start w:val="1"/>
      <w:numFmt w:val="decimal"/>
      <w:lvlText w:val="%1."/>
      <w:lvlJc w:val="left"/>
      <w:pPr>
        <w:ind w:left="786" w:hanging="360"/>
      </w:pPr>
      <w:rPr>
        <w:rFonts w:cs="Times New Roman" w:hint="default"/>
      </w:rPr>
    </w:lvl>
    <w:lvl w:ilvl="1">
      <w:start w:val="1"/>
      <w:numFmt w:val="decimal"/>
      <w:isLgl/>
      <w:lvlText w:val="%1.%2."/>
      <w:lvlJc w:val="left"/>
      <w:pPr>
        <w:ind w:left="1506" w:hanging="720"/>
      </w:pPr>
      <w:rPr>
        <w:rFonts w:cs="Times New Roman" w:hint="default"/>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586" w:hanging="108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666" w:hanging="144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746" w:hanging="180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18">
    <w:nsid w:val="78EC3EA4"/>
    <w:multiLevelType w:val="multilevel"/>
    <w:tmpl w:val="9D8EE4DC"/>
    <w:lvl w:ilvl="0">
      <w:start w:val="2"/>
      <w:numFmt w:val="decimal"/>
      <w:lvlText w:val="%1."/>
      <w:lvlJc w:val="left"/>
      <w:pPr>
        <w:ind w:left="450" w:hanging="450"/>
      </w:pPr>
      <w:rPr>
        <w:rFonts w:cs="Times New Roman" w:hint="default"/>
      </w:rPr>
    </w:lvl>
    <w:lvl w:ilvl="1">
      <w:start w:val="2"/>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880" w:hanging="144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680" w:hanging="2160"/>
      </w:pPr>
      <w:rPr>
        <w:rFonts w:cs="Times New Roman" w:hint="default"/>
      </w:rPr>
    </w:lvl>
    <w:lvl w:ilvl="8">
      <w:start w:val="1"/>
      <w:numFmt w:val="decimal"/>
      <w:lvlText w:val="%1.%2.%3.%4.%5.%6.%7.%8.%9."/>
      <w:lvlJc w:val="left"/>
      <w:pPr>
        <w:ind w:left="5040" w:hanging="2160"/>
      </w:pPr>
      <w:rPr>
        <w:rFonts w:cs="Times New Roman" w:hint="default"/>
      </w:rPr>
    </w:lvl>
  </w:abstractNum>
  <w:abstractNum w:abstractNumId="19">
    <w:nsid w:val="7CAA637A"/>
    <w:multiLevelType w:val="multilevel"/>
    <w:tmpl w:val="36943482"/>
    <w:lvl w:ilvl="0">
      <w:start w:val="1"/>
      <w:numFmt w:val="decimal"/>
      <w:pStyle w:val="Heading1"/>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0">
    <w:nsid w:val="7E0F6A2B"/>
    <w:multiLevelType w:val="hybridMultilevel"/>
    <w:tmpl w:val="9648DBF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hint="default"/>
      </w:rPr>
    </w:lvl>
    <w:lvl w:ilvl="8" w:tplc="04080005" w:tentative="1">
      <w:start w:val="1"/>
      <w:numFmt w:val="bullet"/>
      <w:lvlText w:val=""/>
      <w:lvlJc w:val="left"/>
      <w:pPr>
        <w:ind w:left="7200" w:hanging="360"/>
      </w:pPr>
      <w:rPr>
        <w:rFonts w:ascii="Wingdings" w:hAnsi="Wingdings" w:hint="default"/>
      </w:rPr>
    </w:lvl>
  </w:abstractNum>
  <w:num w:numId="1">
    <w:abstractNumId w:val="9"/>
  </w:num>
  <w:num w:numId="2">
    <w:abstractNumId w:val="9"/>
  </w:num>
  <w:num w:numId="3">
    <w:abstractNumId w:val="9"/>
  </w:num>
  <w:num w:numId="4">
    <w:abstractNumId w:val="9"/>
  </w:num>
  <w:num w:numId="5">
    <w:abstractNumId w:val="9"/>
  </w:num>
  <w:num w:numId="6">
    <w:abstractNumId w:val="9"/>
  </w:num>
  <w:num w:numId="7">
    <w:abstractNumId w:val="10"/>
  </w:num>
  <w:num w:numId="8">
    <w:abstractNumId w:val="10"/>
  </w:num>
  <w:num w:numId="9">
    <w:abstractNumId w:val="9"/>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8"/>
  </w:num>
  <w:num w:numId="23">
    <w:abstractNumId w:val="8"/>
  </w:num>
  <w:num w:numId="24">
    <w:abstractNumId w:val="7"/>
  </w:num>
  <w:num w:numId="25">
    <w:abstractNumId w:val="3"/>
  </w:num>
  <w:num w:numId="26">
    <w:abstractNumId w:val="3"/>
  </w:num>
  <w:num w:numId="27">
    <w:abstractNumId w:val="1"/>
  </w:num>
  <w:num w:numId="28">
    <w:abstractNumId w:val="6"/>
  </w:num>
  <w:num w:numId="29">
    <w:abstractNumId w:val="3"/>
  </w:num>
  <w:num w:numId="30">
    <w:abstractNumId w:val="6"/>
  </w:num>
  <w:num w:numId="31">
    <w:abstractNumId w:val="7"/>
  </w:num>
  <w:num w:numId="32">
    <w:abstractNumId w:val="17"/>
  </w:num>
  <w:num w:numId="33">
    <w:abstractNumId w:val="13"/>
  </w:num>
  <w:num w:numId="34">
    <w:abstractNumId w:val="2"/>
  </w:num>
  <w:num w:numId="35">
    <w:abstractNumId w:val="14"/>
  </w:num>
  <w:num w:numId="36">
    <w:abstractNumId w:val="12"/>
  </w:num>
  <w:num w:numId="37">
    <w:abstractNumId w:val="5"/>
  </w:num>
  <w:num w:numId="38">
    <w:abstractNumId w:val="11"/>
  </w:num>
  <w:num w:numId="39">
    <w:abstractNumId w:val="18"/>
  </w:num>
  <w:num w:numId="40">
    <w:abstractNumId w:val="0"/>
  </w:num>
  <w:num w:numId="41">
    <w:abstractNumId w:val="15"/>
  </w:num>
  <w:num w:numId="42">
    <w:abstractNumId w:val="19"/>
  </w:num>
  <w:num w:numId="43">
    <w:abstractNumId w:val="20"/>
  </w:num>
  <w:num w:numId="44">
    <w:abstractNumId w:val="16"/>
  </w:num>
  <w:num w:numId="4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C7A23"/>
    <w:rsid w:val="0000040C"/>
    <w:rsid w:val="00002A44"/>
    <w:rsid w:val="00004A3D"/>
    <w:rsid w:val="000059AC"/>
    <w:rsid w:val="000125A5"/>
    <w:rsid w:val="0001273C"/>
    <w:rsid w:val="0001396B"/>
    <w:rsid w:val="000162C2"/>
    <w:rsid w:val="000163F3"/>
    <w:rsid w:val="00022F91"/>
    <w:rsid w:val="00024BB1"/>
    <w:rsid w:val="00025F67"/>
    <w:rsid w:val="00026A3A"/>
    <w:rsid w:val="00026C7B"/>
    <w:rsid w:val="00033A6F"/>
    <w:rsid w:val="00036B8A"/>
    <w:rsid w:val="000403E0"/>
    <w:rsid w:val="00040724"/>
    <w:rsid w:val="00043021"/>
    <w:rsid w:val="000431B2"/>
    <w:rsid w:val="000439A0"/>
    <w:rsid w:val="00045805"/>
    <w:rsid w:val="00045F9E"/>
    <w:rsid w:val="000562E1"/>
    <w:rsid w:val="00064DA8"/>
    <w:rsid w:val="00064FE1"/>
    <w:rsid w:val="00065A79"/>
    <w:rsid w:val="0006679D"/>
    <w:rsid w:val="00070AC8"/>
    <w:rsid w:val="00071D22"/>
    <w:rsid w:val="00073C09"/>
    <w:rsid w:val="00074ED7"/>
    <w:rsid w:val="00076403"/>
    <w:rsid w:val="00076611"/>
    <w:rsid w:val="00076703"/>
    <w:rsid w:val="00082092"/>
    <w:rsid w:val="00083F74"/>
    <w:rsid w:val="00085EC2"/>
    <w:rsid w:val="000873EC"/>
    <w:rsid w:val="00091319"/>
    <w:rsid w:val="000915A6"/>
    <w:rsid w:val="000926D3"/>
    <w:rsid w:val="000948E3"/>
    <w:rsid w:val="000A0C7A"/>
    <w:rsid w:val="000A24BD"/>
    <w:rsid w:val="000A405E"/>
    <w:rsid w:val="000A4BBA"/>
    <w:rsid w:val="000B0325"/>
    <w:rsid w:val="000B0871"/>
    <w:rsid w:val="000B1289"/>
    <w:rsid w:val="000B222F"/>
    <w:rsid w:val="000B5F42"/>
    <w:rsid w:val="000B7AEC"/>
    <w:rsid w:val="000C067A"/>
    <w:rsid w:val="000C4A78"/>
    <w:rsid w:val="000D07B2"/>
    <w:rsid w:val="000D1B1D"/>
    <w:rsid w:val="000D4C05"/>
    <w:rsid w:val="000D6309"/>
    <w:rsid w:val="000D6964"/>
    <w:rsid w:val="000D6B04"/>
    <w:rsid w:val="000D7157"/>
    <w:rsid w:val="000E35B2"/>
    <w:rsid w:val="000E49CB"/>
    <w:rsid w:val="000F0440"/>
    <w:rsid w:val="000F382F"/>
    <w:rsid w:val="000F3D11"/>
    <w:rsid w:val="000F6C53"/>
    <w:rsid w:val="000F7EE4"/>
    <w:rsid w:val="00103821"/>
    <w:rsid w:val="00104C7F"/>
    <w:rsid w:val="001128C9"/>
    <w:rsid w:val="001129BE"/>
    <w:rsid w:val="001137F1"/>
    <w:rsid w:val="00114292"/>
    <w:rsid w:val="001154C0"/>
    <w:rsid w:val="0011638E"/>
    <w:rsid w:val="001206A3"/>
    <w:rsid w:val="00121CFA"/>
    <w:rsid w:val="001242A1"/>
    <w:rsid w:val="00126C41"/>
    <w:rsid w:val="00134317"/>
    <w:rsid w:val="00134FCD"/>
    <w:rsid w:val="00135ADB"/>
    <w:rsid w:val="00136D01"/>
    <w:rsid w:val="00141176"/>
    <w:rsid w:val="00143021"/>
    <w:rsid w:val="00150BDE"/>
    <w:rsid w:val="001516B4"/>
    <w:rsid w:val="001550C7"/>
    <w:rsid w:val="00156A6B"/>
    <w:rsid w:val="001607A7"/>
    <w:rsid w:val="001610DC"/>
    <w:rsid w:val="00161E79"/>
    <w:rsid w:val="00166BCB"/>
    <w:rsid w:val="00167835"/>
    <w:rsid w:val="00170FBE"/>
    <w:rsid w:val="001715FB"/>
    <w:rsid w:val="001720FB"/>
    <w:rsid w:val="00172464"/>
    <w:rsid w:val="0017367B"/>
    <w:rsid w:val="00177BD5"/>
    <w:rsid w:val="00182C44"/>
    <w:rsid w:val="00182F27"/>
    <w:rsid w:val="00185ACD"/>
    <w:rsid w:val="00190C29"/>
    <w:rsid w:val="001925EB"/>
    <w:rsid w:val="0019267D"/>
    <w:rsid w:val="0019414D"/>
    <w:rsid w:val="00195735"/>
    <w:rsid w:val="0019616F"/>
    <w:rsid w:val="001A10E7"/>
    <w:rsid w:val="001A2D93"/>
    <w:rsid w:val="001A3AB8"/>
    <w:rsid w:val="001B57C7"/>
    <w:rsid w:val="001B5995"/>
    <w:rsid w:val="001C0A25"/>
    <w:rsid w:val="001C5F95"/>
    <w:rsid w:val="001D1A94"/>
    <w:rsid w:val="001D2E42"/>
    <w:rsid w:val="001D308B"/>
    <w:rsid w:val="001D30E3"/>
    <w:rsid w:val="001D37D7"/>
    <w:rsid w:val="001D5F91"/>
    <w:rsid w:val="001D6FCC"/>
    <w:rsid w:val="001D7902"/>
    <w:rsid w:val="001D7B20"/>
    <w:rsid w:val="001E3FFB"/>
    <w:rsid w:val="001E510A"/>
    <w:rsid w:val="001E6AEA"/>
    <w:rsid w:val="001E7762"/>
    <w:rsid w:val="001F339B"/>
    <w:rsid w:val="00200E34"/>
    <w:rsid w:val="00201FE4"/>
    <w:rsid w:val="00202EB0"/>
    <w:rsid w:val="00202F60"/>
    <w:rsid w:val="002050F2"/>
    <w:rsid w:val="0020591D"/>
    <w:rsid w:val="002075B8"/>
    <w:rsid w:val="002105BF"/>
    <w:rsid w:val="00215507"/>
    <w:rsid w:val="0021648F"/>
    <w:rsid w:val="00220646"/>
    <w:rsid w:val="00222330"/>
    <w:rsid w:val="002243F6"/>
    <w:rsid w:val="00226EFD"/>
    <w:rsid w:val="00227F78"/>
    <w:rsid w:val="00231199"/>
    <w:rsid w:val="00232730"/>
    <w:rsid w:val="002328B9"/>
    <w:rsid w:val="002337C8"/>
    <w:rsid w:val="0023468D"/>
    <w:rsid w:val="00235DB7"/>
    <w:rsid w:val="00236798"/>
    <w:rsid w:val="00236F1D"/>
    <w:rsid w:val="0023791A"/>
    <w:rsid w:val="00244186"/>
    <w:rsid w:val="00244D11"/>
    <w:rsid w:val="0024568F"/>
    <w:rsid w:val="00255C6B"/>
    <w:rsid w:val="0025681B"/>
    <w:rsid w:val="00262DAB"/>
    <w:rsid w:val="00264FEF"/>
    <w:rsid w:val="00265567"/>
    <w:rsid w:val="00267F4A"/>
    <w:rsid w:val="002702D0"/>
    <w:rsid w:val="0027074D"/>
    <w:rsid w:val="00270D72"/>
    <w:rsid w:val="00272130"/>
    <w:rsid w:val="00273473"/>
    <w:rsid w:val="00276A7B"/>
    <w:rsid w:val="00282B58"/>
    <w:rsid w:val="002847D6"/>
    <w:rsid w:val="00285AD3"/>
    <w:rsid w:val="00286B2C"/>
    <w:rsid w:val="00287DCB"/>
    <w:rsid w:val="0029028D"/>
    <w:rsid w:val="00291031"/>
    <w:rsid w:val="00292C12"/>
    <w:rsid w:val="00294590"/>
    <w:rsid w:val="00297924"/>
    <w:rsid w:val="002A023A"/>
    <w:rsid w:val="002A0DB7"/>
    <w:rsid w:val="002A232B"/>
    <w:rsid w:val="002A5695"/>
    <w:rsid w:val="002A6C21"/>
    <w:rsid w:val="002A791E"/>
    <w:rsid w:val="002A7EFB"/>
    <w:rsid w:val="002B03A8"/>
    <w:rsid w:val="002B241E"/>
    <w:rsid w:val="002B590A"/>
    <w:rsid w:val="002B5C0B"/>
    <w:rsid w:val="002B6728"/>
    <w:rsid w:val="002B7565"/>
    <w:rsid w:val="002C2C51"/>
    <w:rsid w:val="002C33E2"/>
    <w:rsid w:val="002C3B1E"/>
    <w:rsid w:val="002C3BBD"/>
    <w:rsid w:val="002C3C3A"/>
    <w:rsid w:val="002C4298"/>
    <w:rsid w:val="002C5EBA"/>
    <w:rsid w:val="002C7A23"/>
    <w:rsid w:val="002D1E84"/>
    <w:rsid w:val="002D2DDE"/>
    <w:rsid w:val="002D4C5C"/>
    <w:rsid w:val="002D4DDC"/>
    <w:rsid w:val="002D564C"/>
    <w:rsid w:val="002D71FC"/>
    <w:rsid w:val="002D7879"/>
    <w:rsid w:val="002E2A61"/>
    <w:rsid w:val="002E320A"/>
    <w:rsid w:val="002E3F11"/>
    <w:rsid w:val="002E5311"/>
    <w:rsid w:val="002E57D9"/>
    <w:rsid w:val="002E7703"/>
    <w:rsid w:val="002F0A84"/>
    <w:rsid w:val="002F5ED6"/>
    <w:rsid w:val="002F6435"/>
    <w:rsid w:val="002F6A76"/>
    <w:rsid w:val="00300195"/>
    <w:rsid w:val="0030105F"/>
    <w:rsid w:val="00303AA0"/>
    <w:rsid w:val="003121D0"/>
    <w:rsid w:val="003126C6"/>
    <w:rsid w:val="00314909"/>
    <w:rsid w:val="00315900"/>
    <w:rsid w:val="00316296"/>
    <w:rsid w:val="003168B8"/>
    <w:rsid w:val="00321091"/>
    <w:rsid w:val="00323E4D"/>
    <w:rsid w:val="0032493B"/>
    <w:rsid w:val="003253C2"/>
    <w:rsid w:val="003254E3"/>
    <w:rsid w:val="00325528"/>
    <w:rsid w:val="00325744"/>
    <w:rsid w:val="00325DEE"/>
    <w:rsid w:val="0032718E"/>
    <w:rsid w:val="00334C69"/>
    <w:rsid w:val="00334EAE"/>
    <w:rsid w:val="003357E7"/>
    <w:rsid w:val="00335F3C"/>
    <w:rsid w:val="00336FE0"/>
    <w:rsid w:val="00344520"/>
    <w:rsid w:val="0034585A"/>
    <w:rsid w:val="0034688C"/>
    <w:rsid w:val="00347521"/>
    <w:rsid w:val="0034772D"/>
    <w:rsid w:val="00347B83"/>
    <w:rsid w:val="003526C4"/>
    <w:rsid w:val="003533E5"/>
    <w:rsid w:val="003605FB"/>
    <w:rsid w:val="00365181"/>
    <w:rsid w:val="003670A5"/>
    <w:rsid w:val="003671C8"/>
    <w:rsid w:val="00371051"/>
    <w:rsid w:val="00371715"/>
    <w:rsid w:val="00372BD0"/>
    <w:rsid w:val="003731B0"/>
    <w:rsid w:val="00373452"/>
    <w:rsid w:val="003747EC"/>
    <w:rsid w:val="003806D5"/>
    <w:rsid w:val="0038270A"/>
    <w:rsid w:val="0038621B"/>
    <w:rsid w:val="00386D19"/>
    <w:rsid w:val="00391A79"/>
    <w:rsid w:val="003926A6"/>
    <w:rsid w:val="00396BAD"/>
    <w:rsid w:val="003A1507"/>
    <w:rsid w:val="003A174E"/>
    <w:rsid w:val="003A2E4F"/>
    <w:rsid w:val="003A34F0"/>
    <w:rsid w:val="003A463C"/>
    <w:rsid w:val="003A541C"/>
    <w:rsid w:val="003B15F5"/>
    <w:rsid w:val="003B3F90"/>
    <w:rsid w:val="003C09F3"/>
    <w:rsid w:val="003C3343"/>
    <w:rsid w:val="003C46AE"/>
    <w:rsid w:val="003C5CB3"/>
    <w:rsid w:val="003C5E52"/>
    <w:rsid w:val="003C5FE4"/>
    <w:rsid w:val="003C6F3A"/>
    <w:rsid w:val="003D092F"/>
    <w:rsid w:val="003D43D3"/>
    <w:rsid w:val="003D5617"/>
    <w:rsid w:val="003D5EA3"/>
    <w:rsid w:val="003D7331"/>
    <w:rsid w:val="003E37F3"/>
    <w:rsid w:val="003E7B69"/>
    <w:rsid w:val="003F0927"/>
    <w:rsid w:val="003F19FD"/>
    <w:rsid w:val="003F369B"/>
    <w:rsid w:val="00401018"/>
    <w:rsid w:val="00404FAF"/>
    <w:rsid w:val="00405196"/>
    <w:rsid w:val="00410F7B"/>
    <w:rsid w:val="0041229B"/>
    <w:rsid w:val="004122B0"/>
    <w:rsid w:val="00414794"/>
    <w:rsid w:val="00416016"/>
    <w:rsid w:val="0041612D"/>
    <w:rsid w:val="00417272"/>
    <w:rsid w:val="004173B4"/>
    <w:rsid w:val="004210C4"/>
    <w:rsid w:val="00424D9D"/>
    <w:rsid w:val="00430FD6"/>
    <w:rsid w:val="00433467"/>
    <w:rsid w:val="00434730"/>
    <w:rsid w:val="00435F24"/>
    <w:rsid w:val="00441651"/>
    <w:rsid w:val="00451969"/>
    <w:rsid w:val="00451FC3"/>
    <w:rsid w:val="00454EF2"/>
    <w:rsid w:val="00457091"/>
    <w:rsid w:val="004577BC"/>
    <w:rsid w:val="00457BE2"/>
    <w:rsid w:val="00460CC4"/>
    <w:rsid w:val="00461276"/>
    <w:rsid w:val="0046128A"/>
    <w:rsid w:val="004644A1"/>
    <w:rsid w:val="004645DA"/>
    <w:rsid w:val="00465D0B"/>
    <w:rsid w:val="004664E2"/>
    <w:rsid w:val="004706E8"/>
    <w:rsid w:val="00471B00"/>
    <w:rsid w:val="00473AD9"/>
    <w:rsid w:val="0047408E"/>
    <w:rsid w:val="004745FA"/>
    <w:rsid w:val="00474B23"/>
    <w:rsid w:val="00475A3C"/>
    <w:rsid w:val="0048113F"/>
    <w:rsid w:val="0048314C"/>
    <w:rsid w:val="00483436"/>
    <w:rsid w:val="00487D23"/>
    <w:rsid w:val="00492D37"/>
    <w:rsid w:val="00493FD5"/>
    <w:rsid w:val="004951A4"/>
    <w:rsid w:val="00495428"/>
    <w:rsid w:val="004A2596"/>
    <w:rsid w:val="004A4619"/>
    <w:rsid w:val="004A56A9"/>
    <w:rsid w:val="004A6280"/>
    <w:rsid w:val="004A65B1"/>
    <w:rsid w:val="004A6CB5"/>
    <w:rsid w:val="004B2D72"/>
    <w:rsid w:val="004B4CEA"/>
    <w:rsid w:val="004B7783"/>
    <w:rsid w:val="004C3424"/>
    <w:rsid w:val="004C35BB"/>
    <w:rsid w:val="004C37A2"/>
    <w:rsid w:val="004C4093"/>
    <w:rsid w:val="004C43CF"/>
    <w:rsid w:val="004C4930"/>
    <w:rsid w:val="004C596C"/>
    <w:rsid w:val="004C5995"/>
    <w:rsid w:val="004C6361"/>
    <w:rsid w:val="004C7630"/>
    <w:rsid w:val="004C7CC4"/>
    <w:rsid w:val="004D0DC4"/>
    <w:rsid w:val="004D3318"/>
    <w:rsid w:val="004D45D3"/>
    <w:rsid w:val="004D62CB"/>
    <w:rsid w:val="004D7348"/>
    <w:rsid w:val="004D7933"/>
    <w:rsid w:val="004E3CDE"/>
    <w:rsid w:val="004E7F1C"/>
    <w:rsid w:val="004F031C"/>
    <w:rsid w:val="004F2967"/>
    <w:rsid w:val="004F718E"/>
    <w:rsid w:val="004F7473"/>
    <w:rsid w:val="004F7871"/>
    <w:rsid w:val="00501504"/>
    <w:rsid w:val="00501834"/>
    <w:rsid w:val="0050309F"/>
    <w:rsid w:val="005040AC"/>
    <w:rsid w:val="00505114"/>
    <w:rsid w:val="00506436"/>
    <w:rsid w:val="005073F0"/>
    <w:rsid w:val="00513EB0"/>
    <w:rsid w:val="005162F3"/>
    <w:rsid w:val="00520AC9"/>
    <w:rsid w:val="00522D8D"/>
    <w:rsid w:val="005248A1"/>
    <w:rsid w:val="005256F1"/>
    <w:rsid w:val="005260CF"/>
    <w:rsid w:val="00530E1A"/>
    <w:rsid w:val="00534D69"/>
    <w:rsid w:val="005365BE"/>
    <w:rsid w:val="00543330"/>
    <w:rsid w:val="00544064"/>
    <w:rsid w:val="005447B4"/>
    <w:rsid w:val="00544AE8"/>
    <w:rsid w:val="00545AC2"/>
    <w:rsid w:val="00547164"/>
    <w:rsid w:val="00550770"/>
    <w:rsid w:val="005523B1"/>
    <w:rsid w:val="00554011"/>
    <w:rsid w:val="00554534"/>
    <w:rsid w:val="00557B8C"/>
    <w:rsid w:val="005628BF"/>
    <w:rsid w:val="005632F9"/>
    <w:rsid w:val="00564B32"/>
    <w:rsid w:val="00567FFE"/>
    <w:rsid w:val="00582276"/>
    <w:rsid w:val="00583BE3"/>
    <w:rsid w:val="005844FF"/>
    <w:rsid w:val="005859ED"/>
    <w:rsid w:val="00587C55"/>
    <w:rsid w:val="00590429"/>
    <w:rsid w:val="00591F1C"/>
    <w:rsid w:val="00593B7A"/>
    <w:rsid w:val="00594C25"/>
    <w:rsid w:val="005A12D1"/>
    <w:rsid w:val="005A1A08"/>
    <w:rsid w:val="005B0093"/>
    <w:rsid w:val="005B0A24"/>
    <w:rsid w:val="005B29BF"/>
    <w:rsid w:val="005B3BC6"/>
    <w:rsid w:val="005B4246"/>
    <w:rsid w:val="005B4704"/>
    <w:rsid w:val="005B6EC5"/>
    <w:rsid w:val="005B75DE"/>
    <w:rsid w:val="005C5C25"/>
    <w:rsid w:val="005C697F"/>
    <w:rsid w:val="005D0EF3"/>
    <w:rsid w:val="005D1CB8"/>
    <w:rsid w:val="005D33D2"/>
    <w:rsid w:val="005D36BB"/>
    <w:rsid w:val="005D3C9A"/>
    <w:rsid w:val="005D5B36"/>
    <w:rsid w:val="005D6751"/>
    <w:rsid w:val="005D710C"/>
    <w:rsid w:val="005D7AEB"/>
    <w:rsid w:val="005E0650"/>
    <w:rsid w:val="005E2909"/>
    <w:rsid w:val="005F2A81"/>
    <w:rsid w:val="005F4E47"/>
    <w:rsid w:val="006017B9"/>
    <w:rsid w:val="00604D87"/>
    <w:rsid w:val="00607B46"/>
    <w:rsid w:val="00610329"/>
    <w:rsid w:val="006105CB"/>
    <w:rsid w:val="00610A4F"/>
    <w:rsid w:val="00613EF7"/>
    <w:rsid w:val="00620A87"/>
    <w:rsid w:val="00621431"/>
    <w:rsid w:val="00621FB4"/>
    <w:rsid w:val="00621FBE"/>
    <w:rsid w:val="00622BC7"/>
    <w:rsid w:val="00623196"/>
    <w:rsid w:val="006234DE"/>
    <w:rsid w:val="00623900"/>
    <w:rsid w:val="0062465C"/>
    <w:rsid w:val="0062466B"/>
    <w:rsid w:val="0062492C"/>
    <w:rsid w:val="00625897"/>
    <w:rsid w:val="00625DC0"/>
    <w:rsid w:val="006313AC"/>
    <w:rsid w:val="0063290C"/>
    <w:rsid w:val="00632BB6"/>
    <w:rsid w:val="00636C88"/>
    <w:rsid w:val="006378FF"/>
    <w:rsid w:val="00640AA9"/>
    <w:rsid w:val="006448C2"/>
    <w:rsid w:val="00645985"/>
    <w:rsid w:val="006462E6"/>
    <w:rsid w:val="0065070D"/>
    <w:rsid w:val="00655264"/>
    <w:rsid w:val="0065594D"/>
    <w:rsid w:val="00657338"/>
    <w:rsid w:val="00661EB7"/>
    <w:rsid w:val="00663661"/>
    <w:rsid w:val="00665E9C"/>
    <w:rsid w:val="0066665E"/>
    <w:rsid w:val="00667036"/>
    <w:rsid w:val="00671CA2"/>
    <w:rsid w:val="00673CAE"/>
    <w:rsid w:val="00677734"/>
    <w:rsid w:val="006777C1"/>
    <w:rsid w:val="0068108F"/>
    <w:rsid w:val="00681816"/>
    <w:rsid w:val="006860A5"/>
    <w:rsid w:val="006871E4"/>
    <w:rsid w:val="006872B9"/>
    <w:rsid w:val="006906C4"/>
    <w:rsid w:val="006908D3"/>
    <w:rsid w:val="006932EF"/>
    <w:rsid w:val="00694066"/>
    <w:rsid w:val="006A35CE"/>
    <w:rsid w:val="006A4924"/>
    <w:rsid w:val="006A4F84"/>
    <w:rsid w:val="006A6F1A"/>
    <w:rsid w:val="006A78DE"/>
    <w:rsid w:val="006B0B64"/>
    <w:rsid w:val="006B237D"/>
    <w:rsid w:val="006B30AD"/>
    <w:rsid w:val="006B3254"/>
    <w:rsid w:val="006B3BB4"/>
    <w:rsid w:val="006B4112"/>
    <w:rsid w:val="006B6207"/>
    <w:rsid w:val="006C1BF5"/>
    <w:rsid w:val="006C7368"/>
    <w:rsid w:val="006C7973"/>
    <w:rsid w:val="006D27F6"/>
    <w:rsid w:val="006D364B"/>
    <w:rsid w:val="006D4BE2"/>
    <w:rsid w:val="006D4FDF"/>
    <w:rsid w:val="006E0047"/>
    <w:rsid w:val="006E07FD"/>
    <w:rsid w:val="006E3275"/>
    <w:rsid w:val="006E3320"/>
    <w:rsid w:val="006E333C"/>
    <w:rsid w:val="006E3C89"/>
    <w:rsid w:val="006E77E2"/>
    <w:rsid w:val="006F12DD"/>
    <w:rsid w:val="006F1EAE"/>
    <w:rsid w:val="006F2986"/>
    <w:rsid w:val="006F61E7"/>
    <w:rsid w:val="00706206"/>
    <w:rsid w:val="0071713D"/>
    <w:rsid w:val="0072029D"/>
    <w:rsid w:val="007204B6"/>
    <w:rsid w:val="00721A6F"/>
    <w:rsid w:val="0072359C"/>
    <w:rsid w:val="00723D17"/>
    <w:rsid w:val="00726D46"/>
    <w:rsid w:val="007275FF"/>
    <w:rsid w:val="007333FA"/>
    <w:rsid w:val="007357EE"/>
    <w:rsid w:val="00737799"/>
    <w:rsid w:val="0074187E"/>
    <w:rsid w:val="00741E6C"/>
    <w:rsid w:val="00743DF9"/>
    <w:rsid w:val="00745C91"/>
    <w:rsid w:val="00750BE1"/>
    <w:rsid w:val="00753A00"/>
    <w:rsid w:val="00753D9B"/>
    <w:rsid w:val="007544AB"/>
    <w:rsid w:val="00766C0B"/>
    <w:rsid w:val="00766F19"/>
    <w:rsid w:val="00767FC5"/>
    <w:rsid w:val="007700CD"/>
    <w:rsid w:val="007725B0"/>
    <w:rsid w:val="00772F07"/>
    <w:rsid w:val="00773772"/>
    <w:rsid w:val="00775D85"/>
    <w:rsid w:val="007772E3"/>
    <w:rsid w:val="00777DF3"/>
    <w:rsid w:val="00780A57"/>
    <w:rsid w:val="0078407E"/>
    <w:rsid w:val="00791101"/>
    <w:rsid w:val="007926F9"/>
    <w:rsid w:val="00794488"/>
    <w:rsid w:val="007955E1"/>
    <w:rsid w:val="00796560"/>
    <w:rsid w:val="007972C8"/>
    <w:rsid w:val="007A0AC9"/>
    <w:rsid w:val="007A3A15"/>
    <w:rsid w:val="007A71BA"/>
    <w:rsid w:val="007B0AEC"/>
    <w:rsid w:val="007B2358"/>
    <w:rsid w:val="007B2671"/>
    <w:rsid w:val="007B4046"/>
    <w:rsid w:val="007B5B44"/>
    <w:rsid w:val="007B78CB"/>
    <w:rsid w:val="007B7AC6"/>
    <w:rsid w:val="007C03DA"/>
    <w:rsid w:val="007C0561"/>
    <w:rsid w:val="007C2EBC"/>
    <w:rsid w:val="007C35AF"/>
    <w:rsid w:val="007C3762"/>
    <w:rsid w:val="007C6465"/>
    <w:rsid w:val="007D00AF"/>
    <w:rsid w:val="007D0EF2"/>
    <w:rsid w:val="007E0091"/>
    <w:rsid w:val="007E07D8"/>
    <w:rsid w:val="007E103C"/>
    <w:rsid w:val="007E3D29"/>
    <w:rsid w:val="007F4E2D"/>
    <w:rsid w:val="007F6049"/>
    <w:rsid w:val="007F7271"/>
    <w:rsid w:val="007F76C9"/>
    <w:rsid w:val="00801135"/>
    <w:rsid w:val="00803844"/>
    <w:rsid w:val="00806F82"/>
    <w:rsid w:val="008073D7"/>
    <w:rsid w:val="00814834"/>
    <w:rsid w:val="0081571D"/>
    <w:rsid w:val="00815DBC"/>
    <w:rsid w:val="00816A1D"/>
    <w:rsid w:val="00816E37"/>
    <w:rsid w:val="00817149"/>
    <w:rsid w:val="00817933"/>
    <w:rsid w:val="0082253A"/>
    <w:rsid w:val="0082761D"/>
    <w:rsid w:val="008317C3"/>
    <w:rsid w:val="008341A7"/>
    <w:rsid w:val="00834334"/>
    <w:rsid w:val="0084001A"/>
    <w:rsid w:val="00841D2F"/>
    <w:rsid w:val="00842D37"/>
    <w:rsid w:val="00844711"/>
    <w:rsid w:val="00844BCF"/>
    <w:rsid w:val="008459D8"/>
    <w:rsid w:val="00845FED"/>
    <w:rsid w:val="0085039F"/>
    <w:rsid w:val="00850919"/>
    <w:rsid w:val="008529B2"/>
    <w:rsid w:val="00852EC7"/>
    <w:rsid w:val="0085336D"/>
    <w:rsid w:val="0085374B"/>
    <w:rsid w:val="008550F8"/>
    <w:rsid w:val="008552D3"/>
    <w:rsid w:val="008609CB"/>
    <w:rsid w:val="00862882"/>
    <w:rsid w:val="00862D56"/>
    <w:rsid w:val="00864F1D"/>
    <w:rsid w:val="0086786E"/>
    <w:rsid w:val="0087140C"/>
    <w:rsid w:val="008718C0"/>
    <w:rsid w:val="00875014"/>
    <w:rsid w:val="00875E32"/>
    <w:rsid w:val="00876E73"/>
    <w:rsid w:val="008863BF"/>
    <w:rsid w:val="0088681E"/>
    <w:rsid w:val="00891DC1"/>
    <w:rsid w:val="0089274B"/>
    <w:rsid w:val="00892CFF"/>
    <w:rsid w:val="00894622"/>
    <w:rsid w:val="008971FB"/>
    <w:rsid w:val="008A0B06"/>
    <w:rsid w:val="008A260D"/>
    <w:rsid w:val="008A2D07"/>
    <w:rsid w:val="008A2E99"/>
    <w:rsid w:val="008A4A91"/>
    <w:rsid w:val="008A7CA9"/>
    <w:rsid w:val="008B1799"/>
    <w:rsid w:val="008B360F"/>
    <w:rsid w:val="008C0668"/>
    <w:rsid w:val="008C38B8"/>
    <w:rsid w:val="008D017C"/>
    <w:rsid w:val="008D07F7"/>
    <w:rsid w:val="008D19A5"/>
    <w:rsid w:val="008D5AA0"/>
    <w:rsid w:val="008E2F14"/>
    <w:rsid w:val="008E3564"/>
    <w:rsid w:val="008E608A"/>
    <w:rsid w:val="008E7253"/>
    <w:rsid w:val="008F0F5A"/>
    <w:rsid w:val="008F10D8"/>
    <w:rsid w:val="008F1A78"/>
    <w:rsid w:val="008F3ABE"/>
    <w:rsid w:val="008F534C"/>
    <w:rsid w:val="008F66CC"/>
    <w:rsid w:val="008F6A29"/>
    <w:rsid w:val="00904080"/>
    <w:rsid w:val="00904144"/>
    <w:rsid w:val="0090530A"/>
    <w:rsid w:val="00912DD9"/>
    <w:rsid w:val="009203D0"/>
    <w:rsid w:val="00920BA9"/>
    <w:rsid w:val="009263E4"/>
    <w:rsid w:val="00926A71"/>
    <w:rsid w:val="0092762B"/>
    <w:rsid w:val="0093363A"/>
    <w:rsid w:val="00935B20"/>
    <w:rsid w:val="00936AA2"/>
    <w:rsid w:val="0094794F"/>
    <w:rsid w:val="0095060A"/>
    <w:rsid w:val="009532E2"/>
    <w:rsid w:val="00955AD3"/>
    <w:rsid w:val="00957F13"/>
    <w:rsid w:val="00961D69"/>
    <w:rsid w:val="00962337"/>
    <w:rsid w:val="009637B0"/>
    <w:rsid w:val="00974414"/>
    <w:rsid w:val="009751A1"/>
    <w:rsid w:val="009769B5"/>
    <w:rsid w:val="009773CD"/>
    <w:rsid w:val="00981D7C"/>
    <w:rsid w:val="00986F7A"/>
    <w:rsid w:val="00987025"/>
    <w:rsid w:val="00991AC8"/>
    <w:rsid w:val="00995F0A"/>
    <w:rsid w:val="009A2FAF"/>
    <w:rsid w:val="009A44D5"/>
    <w:rsid w:val="009A4754"/>
    <w:rsid w:val="009A7E06"/>
    <w:rsid w:val="009B33BD"/>
    <w:rsid w:val="009C1308"/>
    <w:rsid w:val="009C3B9D"/>
    <w:rsid w:val="009C7ACC"/>
    <w:rsid w:val="009D0133"/>
    <w:rsid w:val="009D03B9"/>
    <w:rsid w:val="009D3597"/>
    <w:rsid w:val="009D5079"/>
    <w:rsid w:val="009D50C4"/>
    <w:rsid w:val="009D5E8F"/>
    <w:rsid w:val="009E309A"/>
    <w:rsid w:val="009E384B"/>
    <w:rsid w:val="009F0112"/>
    <w:rsid w:val="009F136C"/>
    <w:rsid w:val="009F33DE"/>
    <w:rsid w:val="009F5706"/>
    <w:rsid w:val="009F6555"/>
    <w:rsid w:val="009F72C6"/>
    <w:rsid w:val="00A032B1"/>
    <w:rsid w:val="00A0411F"/>
    <w:rsid w:val="00A068B0"/>
    <w:rsid w:val="00A06952"/>
    <w:rsid w:val="00A06ECA"/>
    <w:rsid w:val="00A07223"/>
    <w:rsid w:val="00A076A8"/>
    <w:rsid w:val="00A07EBF"/>
    <w:rsid w:val="00A1017C"/>
    <w:rsid w:val="00A106E0"/>
    <w:rsid w:val="00A11899"/>
    <w:rsid w:val="00A11E78"/>
    <w:rsid w:val="00A154A1"/>
    <w:rsid w:val="00A33D55"/>
    <w:rsid w:val="00A40596"/>
    <w:rsid w:val="00A41DC0"/>
    <w:rsid w:val="00A4203E"/>
    <w:rsid w:val="00A42A49"/>
    <w:rsid w:val="00A46795"/>
    <w:rsid w:val="00A4698E"/>
    <w:rsid w:val="00A478CE"/>
    <w:rsid w:val="00A5274F"/>
    <w:rsid w:val="00A56ABB"/>
    <w:rsid w:val="00A614A6"/>
    <w:rsid w:val="00A62701"/>
    <w:rsid w:val="00A64158"/>
    <w:rsid w:val="00A646BD"/>
    <w:rsid w:val="00A658B6"/>
    <w:rsid w:val="00A661F4"/>
    <w:rsid w:val="00A66526"/>
    <w:rsid w:val="00A71686"/>
    <w:rsid w:val="00A73A29"/>
    <w:rsid w:val="00A761C4"/>
    <w:rsid w:val="00A838FA"/>
    <w:rsid w:val="00A9158F"/>
    <w:rsid w:val="00A924DD"/>
    <w:rsid w:val="00A92E53"/>
    <w:rsid w:val="00A93900"/>
    <w:rsid w:val="00A94BF0"/>
    <w:rsid w:val="00A97621"/>
    <w:rsid w:val="00A97732"/>
    <w:rsid w:val="00A97B33"/>
    <w:rsid w:val="00A97F19"/>
    <w:rsid w:val="00A97F87"/>
    <w:rsid w:val="00AA0AE9"/>
    <w:rsid w:val="00AA0BE3"/>
    <w:rsid w:val="00AA0CB3"/>
    <w:rsid w:val="00AA0FC3"/>
    <w:rsid w:val="00AA3599"/>
    <w:rsid w:val="00AA471C"/>
    <w:rsid w:val="00AA5293"/>
    <w:rsid w:val="00AB3BCA"/>
    <w:rsid w:val="00AC00BA"/>
    <w:rsid w:val="00AC2D31"/>
    <w:rsid w:val="00AC32C5"/>
    <w:rsid w:val="00AD0AAC"/>
    <w:rsid w:val="00AD0BD0"/>
    <w:rsid w:val="00AD4299"/>
    <w:rsid w:val="00AD62C5"/>
    <w:rsid w:val="00AE1E52"/>
    <w:rsid w:val="00AE200C"/>
    <w:rsid w:val="00AE3A90"/>
    <w:rsid w:val="00AF2B6F"/>
    <w:rsid w:val="00AF4904"/>
    <w:rsid w:val="00AF4F39"/>
    <w:rsid w:val="00B009FE"/>
    <w:rsid w:val="00B03EFA"/>
    <w:rsid w:val="00B12419"/>
    <w:rsid w:val="00B128B1"/>
    <w:rsid w:val="00B13468"/>
    <w:rsid w:val="00B14146"/>
    <w:rsid w:val="00B170FD"/>
    <w:rsid w:val="00B2186E"/>
    <w:rsid w:val="00B27A68"/>
    <w:rsid w:val="00B321B6"/>
    <w:rsid w:val="00B34501"/>
    <w:rsid w:val="00B34635"/>
    <w:rsid w:val="00B410EF"/>
    <w:rsid w:val="00B41AF8"/>
    <w:rsid w:val="00B507A6"/>
    <w:rsid w:val="00B511E9"/>
    <w:rsid w:val="00B57115"/>
    <w:rsid w:val="00B61E6B"/>
    <w:rsid w:val="00B62600"/>
    <w:rsid w:val="00B62951"/>
    <w:rsid w:val="00B65792"/>
    <w:rsid w:val="00B675BC"/>
    <w:rsid w:val="00B67C04"/>
    <w:rsid w:val="00B67E87"/>
    <w:rsid w:val="00B701AE"/>
    <w:rsid w:val="00B72D97"/>
    <w:rsid w:val="00B75DC8"/>
    <w:rsid w:val="00B76E0F"/>
    <w:rsid w:val="00B774D8"/>
    <w:rsid w:val="00B8166F"/>
    <w:rsid w:val="00B854CD"/>
    <w:rsid w:val="00B8639A"/>
    <w:rsid w:val="00B903F0"/>
    <w:rsid w:val="00B95BED"/>
    <w:rsid w:val="00B96F63"/>
    <w:rsid w:val="00BA16EB"/>
    <w:rsid w:val="00BB02CE"/>
    <w:rsid w:val="00BB5457"/>
    <w:rsid w:val="00BB64B4"/>
    <w:rsid w:val="00BB6867"/>
    <w:rsid w:val="00BC174D"/>
    <w:rsid w:val="00BC1C13"/>
    <w:rsid w:val="00BC1C1B"/>
    <w:rsid w:val="00BC4DA8"/>
    <w:rsid w:val="00BC6791"/>
    <w:rsid w:val="00BC6D7F"/>
    <w:rsid w:val="00BD00A3"/>
    <w:rsid w:val="00BD1B51"/>
    <w:rsid w:val="00BD1E45"/>
    <w:rsid w:val="00BD3C02"/>
    <w:rsid w:val="00BD537E"/>
    <w:rsid w:val="00BD579E"/>
    <w:rsid w:val="00BD61F6"/>
    <w:rsid w:val="00BE2759"/>
    <w:rsid w:val="00BE3E80"/>
    <w:rsid w:val="00BE5A01"/>
    <w:rsid w:val="00BF0B65"/>
    <w:rsid w:val="00BF1502"/>
    <w:rsid w:val="00BF41F0"/>
    <w:rsid w:val="00BF4206"/>
    <w:rsid w:val="00BF6D71"/>
    <w:rsid w:val="00C004C7"/>
    <w:rsid w:val="00C019F2"/>
    <w:rsid w:val="00C02940"/>
    <w:rsid w:val="00C07FA7"/>
    <w:rsid w:val="00C119C3"/>
    <w:rsid w:val="00C1235E"/>
    <w:rsid w:val="00C12D03"/>
    <w:rsid w:val="00C14F67"/>
    <w:rsid w:val="00C17CB1"/>
    <w:rsid w:val="00C21207"/>
    <w:rsid w:val="00C21EB6"/>
    <w:rsid w:val="00C26494"/>
    <w:rsid w:val="00C300AB"/>
    <w:rsid w:val="00C32554"/>
    <w:rsid w:val="00C3303A"/>
    <w:rsid w:val="00C35823"/>
    <w:rsid w:val="00C4212D"/>
    <w:rsid w:val="00C4727E"/>
    <w:rsid w:val="00C51525"/>
    <w:rsid w:val="00C5293D"/>
    <w:rsid w:val="00C543C3"/>
    <w:rsid w:val="00C572BB"/>
    <w:rsid w:val="00C5784C"/>
    <w:rsid w:val="00C57B5D"/>
    <w:rsid w:val="00C61B0F"/>
    <w:rsid w:val="00C62973"/>
    <w:rsid w:val="00C65400"/>
    <w:rsid w:val="00C655D1"/>
    <w:rsid w:val="00C703C4"/>
    <w:rsid w:val="00C718DF"/>
    <w:rsid w:val="00C7342C"/>
    <w:rsid w:val="00C80CD0"/>
    <w:rsid w:val="00C80EC1"/>
    <w:rsid w:val="00C811E3"/>
    <w:rsid w:val="00C839DE"/>
    <w:rsid w:val="00C83EAD"/>
    <w:rsid w:val="00C85BAF"/>
    <w:rsid w:val="00C86FEB"/>
    <w:rsid w:val="00C90302"/>
    <w:rsid w:val="00C9275E"/>
    <w:rsid w:val="00C95F2E"/>
    <w:rsid w:val="00C97B1D"/>
    <w:rsid w:val="00C97F9A"/>
    <w:rsid w:val="00CA111B"/>
    <w:rsid w:val="00CA16D6"/>
    <w:rsid w:val="00CA1B95"/>
    <w:rsid w:val="00CA57C1"/>
    <w:rsid w:val="00CA7004"/>
    <w:rsid w:val="00CB01C0"/>
    <w:rsid w:val="00CB0FC4"/>
    <w:rsid w:val="00CB6FFB"/>
    <w:rsid w:val="00CC0C03"/>
    <w:rsid w:val="00CC1505"/>
    <w:rsid w:val="00CC17ED"/>
    <w:rsid w:val="00CC18DF"/>
    <w:rsid w:val="00CC1958"/>
    <w:rsid w:val="00CC3E31"/>
    <w:rsid w:val="00CC4A86"/>
    <w:rsid w:val="00CD13E7"/>
    <w:rsid w:val="00CD2CFD"/>
    <w:rsid w:val="00CD3CEA"/>
    <w:rsid w:val="00CD4CDD"/>
    <w:rsid w:val="00CD693F"/>
    <w:rsid w:val="00CD78B1"/>
    <w:rsid w:val="00CD7F65"/>
    <w:rsid w:val="00CE1955"/>
    <w:rsid w:val="00CE4590"/>
    <w:rsid w:val="00CF21DD"/>
    <w:rsid w:val="00CF748D"/>
    <w:rsid w:val="00CF768D"/>
    <w:rsid w:val="00D059D9"/>
    <w:rsid w:val="00D0618D"/>
    <w:rsid w:val="00D06303"/>
    <w:rsid w:val="00D06EBD"/>
    <w:rsid w:val="00D072A0"/>
    <w:rsid w:val="00D11D0E"/>
    <w:rsid w:val="00D128B1"/>
    <w:rsid w:val="00D14E3C"/>
    <w:rsid w:val="00D14EAB"/>
    <w:rsid w:val="00D15464"/>
    <w:rsid w:val="00D15AA0"/>
    <w:rsid w:val="00D15AE8"/>
    <w:rsid w:val="00D16F9B"/>
    <w:rsid w:val="00D20E38"/>
    <w:rsid w:val="00D226A2"/>
    <w:rsid w:val="00D3202A"/>
    <w:rsid w:val="00D34E57"/>
    <w:rsid w:val="00D369A7"/>
    <w:rsid w:val="00D41880"/>
    <w:rsid w:val="00D452F6"/>
    <w:rsid w:val="00D45ED6"/>
    <w:rsid w:val="00D46059"/>
    <w:rsid w:val="00D51BA5"/>
    <w:rsid w:val="00D531BB"/>
    <w:rsid w:val="00D54EC2"/>
    <w:rsid w:val="00D55D63"/>
    <w:rsid w:val="00D575E7"/>
    <w:rsid w:val="00D57792"/>
    <w:rsid w:val="00D62047"/>
    <w:rsid w:val="00D6272F"/>
    <w:rsid w:val="00D62A5B"/>
    <w:rsid w:val="00D65636"/>
    <w:rsid w:val="00D7232E"/>
    <w:rsid w:val="00D75C28"/>
    <w:rsid w:val="00D81556"/>
    <w:rsid w:val="00D92B8E"/>
    <w:rsid w:val="00D93411"/>
    <w:rsid w:val="00D94683"/>
    <w:rsid w:val="00D96D4C"/>
    <w:rsid w:val="00D97372"/>
    <w:rsid w:val="00D97874"/>
    <w:rsid w:val="00DA392F"/>
    <w:rsid w:val="00DA63C4"/>
    <w:rsid w:val="00DA76D1"/>
    <w:rsid w:val="00DA7B35"/>
    <w:rsid w:val="00DB0A1F"/>
    <w:rsid w:val="00DB0EE3"/>
    <w:rsid w:val="00DB1915"/>
    <w:rsid w:val="00DB429E"/>
    <w:rsid w:val="00DB6451"/>
    <w:rsid w:val="00DB6E02"/>
    <w:rsid w:val="00DB7D9B"/>
    <w:rsid w:val="00DC0817"/>
    <w:rsid w:val="00DC0B04"/>
    <w:rsid w:val="00DC1C26"/>
    <w:rsid w:val="00DC1E7F"/>
    <w:rsid w:val="00DC4862"/>
    <w:rsid w:val="00DC66E7"/>
    <w:rsid w:val="00DD03C6"/>
    <w:rsid w:val="00DD092C"/>
    <w:rsid w:val="00DD2AFE"/>
    <w:rsid w:val="00DD2B01"/>
    <w:rsid w:val="00DD3B17"/>
    <w:rsid w:val="00DD503E"/>
    <w:rsid w:val="00DD5987"/>
    <w:rsid w:val="00DD7DEF"/>
    <w:rsid w:val="00DE07E5"/>
    <w:rsid w:val="00DE2D29"/>
    <w:rsid w:val="00DE34A9"/>
    <w:rsid w:val="00DE5A14"/>
    <w:rsid w:val="00DF04A7"/>
    <w:rsid w:val="00DF4A9E"/>
    <w:rsid w:val="00DF5401"/>
    <w:rsid w:val="00E04D2A"/>
    <w:rsid w:val="00E07278"/>
    <w:rsid w:val="00E1004A"/>
    <w:rsid w:val="00E126CC"/>
    <w:rsid w:val="00E16E2F"/>
    <w:rsid w:val="00E235D8"/>
    <w:rsid w:val="00E239F0"/>
    <w:rsid w:val="00E31B0F"/>
    <w:rsid w:val="00E34CFC"/>
    <w:rsid w:val="00E35B07"/>
    <w:rsid w:val="00E42B44"/>
    <w:rsid w:val="00E463BF"/>
    <w:rsid w:val="00E46EB4"/>
    <w:rsid w:val="00E47EC2"/>
    <w:rsid w:val="00E527CB"/>
    <w:rsid w:val="00E5304E"/>
    <w:rsid w:val="00E551D2"/>
    <w:rsid w:val="00E551F9"/>
    <w:rsid w:val="00E57C77"/>
    <w:rsid w:val="00E57CF8"/>
    <w:rsid w:val="00E62AD1"/>
    <w:rsid w:val="00E63576"/>
    <w:rsid w:val="00E64F95"/>
    <w:rsid w:val="00E70570"/>
    <w:rsid w:val="00E7159E"/>
    <w:rsid w:val="00E72F93"/>
    <w:rsid w:val="00E7563B"/>
    <w:rsid w:val="00E77D8B"/>
    <w:rsid w:val="00E80E45"/>
    <w:rsid w:val="00E828B9"/>
    <w:rsid w:val="00E8315C"/>
    <w:rsid w:val="00E84A39"/>
    <w:rsid w:val="00E85965"/>
    <w:rsid w:val="00E8780C"/>
    <w:rsid w:val="00E94BA3"/>
    <w:rsid w:val="00EA0AA8"/>
    <w:rsid w:val="00EA0B9D"/>
    <w:rsid w:val="00EA10F3"/>
    <w:rsid w:val="00EA5E02"/>
    <w:rsid w:val="00EA6505"/>
    <w:rsid w:val="00EB1997"/>
    <w:rsid w:val="00EB6496"/>
    <w:rsid w:val="00EB6C4B"/>
    <w:rsid w:val="00EB72D3"/>
    <w:rsid w:val="00EC0578"/>
    <w:rsid w:val="00EC0A8A"/>
    <w:rsid w:val="00EC1C8C"/>
    <w:rsid w:val="00ED1075"/>
    <w:rsid w:val="00ED1DB0"/>
    <w:rsid w:val="00ED3D4C"/>
    <w:rsid w:val="00ED5562"/>
    <w:rsid w:val="00ED5B16"/>
    <w:rsid w:val="00ED7354"/>
    <w:rsid w:val="00EE220D"/>
    <w:rsid w:val="00EE2B93"/>
    <w:rsid w:val="00EE67CF"/>
    <w:rsid w:val="00EE748C"/>
    <w:rsid w:val="00EF2BDB"/>
    <w:rsid w:val="00EF2C51"/>
    <w:rsid w:val="00EF3CFF"/>
    <w:rsid w:val="00EF5E8E"/>
    <w:rsid w:val="00EF689D"/>
    <w:rsid w:val="00EF7565"/>
    <w:rsid w:val="00F00A27"/>
    <w:rsid w:val="00F019F3"/>
    <w:rsid w:val="00F0321D"/>
    <w:rsid w:val="00F1008D"/>
    <w:rsid w:val="00F108E2"/>
    <w:rsid w:val="00F117B8"/>
    <w:rsid w:val="00F12E75"/>
    <w:rsid w:val="00F142D4"/>
    <w:rsid w:val="00F14CFF"/>
    <w:rsid w:val="00F16554"/>
    <w:rsid w:val="00F22228"/>
    <w:rsid w:val="00F23FCC"/>
    <w:rsid w:val="00F278C5"/>
    <w:rsid w:val="00F35FB5"/>
    <w:rsid w:val="00F36160"/>
    <w:rsid w:val="00F36809"/>
    <w:rsid w:val="00F37BB6"/>
    <w:rsid w:val="00F40055"/>
    <w:rsid w:val="00F403B0"/>
    <w:rsid w:val="00F47CE7"/>
    <w:rsid w:val="00F5274A"/>
    <w:rsid w:val="00F52B47"/>
    <w:rsid w:val="00F52D58"/>
    <w:rsid w:val="00F54111"/>
    <w:rsid w:val="00F54B51"/>
    <w:rsid w:val="00F573AA"/>
    <w:rsid w:val="00F576CF"/>
    <w:rsid w:val="00F6333D"/>
    <w:rsid w:val="00F63D0E"/>
    <w:rsid w:val="00F6454B"/>
    <w:rsid w:val="00F7090B"/>
    <w:rsid w:val="00F70921"/>
    <w:rsid w:val="00F70F53"/>
    <w:rsid w:val="00F7532D"/>
    <w:rsid w:val="00F75666"/>
    <w:rsid w:val="00F769F8"/>
    <w:rsid w:val="00F85F55"/>
    <w:rsid w:val="00F92DA7"/>
    <w:rsid w:val="00F93705"/>
    <w:rsid w:val="00F94873"/>
    <w:rsid w:val="00F97995"/>
    <w:rsid w:val="00FA0FCF"/>
    <w:rsid w:val="00FA1DD4"/>
    <w:rsid w:val="00FA28BF"/>
    <w:rsid w:val="00FB1178"/>
    <w:rsid w:val="00FB4C3E"/>
    <w:rsid w:val="00FB5F9F"/>
    <w:rsid w:val="00FC133F"/>
    <w:rsid w:val="00FC7C83"/>
    <w:rsid w:val="00FD2F10"/>
    <w:rsid w:val="00FD33A6"/>
    <w:rsid w:val="00FD5823"/>
    <w:rsid w:val="00FD62E5"/>
    <w:rsid w:val="00FE0E55"/>
    <w:rsid w:val="00FE13BA"/>
    <w:rsid w:val="00FE1675"/>
    <w:rsid w:val="00FE249A"/>
    <w:rsid w:val="00FE3A0E"/>
    <w:rsid w:val="00FE6AD1"/>
    <w:rsid w:val="00FF1B55"/>
    <w:rsid w:val="00FF484C"/>
    <w:rsid w:val="00FF4D28"/>
    <w:rsid w:val="00FF65B0"/>
    <w:rsid w:val="00FF718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2C7A23"/>
    <w:pPr>
      <w:spacing w:line="288" w:lineRule="auto"/>
      <w:jc w:val="both"/>
    </w:pPr>
    <w:rPr>
      <w:rFonts w:ascii="Cambria" w:hAnsi="Cambria"/>
      <w:sz w:val="23"/>
      <w:lang w:val="el-GR"/>
    </w:rPr>
  </w:style>
  <w:style w:type="paragraph" w:styleId="Heading1">
    <w:name w:val="heading 1"/>
    <w:basedOn w:val="Normal"/>
    <w:next w:val="Normal"/>
    <w:link w:val="Heading1Char"/>
    <w:autoRedefine/>
    <w:uiPriority w:val="99"/>
    <w:qFormat/>
    <w:rsid w:val="006E3320"/>
    <w:pPr>
      <w:keepNext/>
      <w:keepLines/>
      <w:numPr>
        <w:numId w:val="42"/>
      </w:numPr>
      <w:spacing w:after="160" w:line="240" w:lineRule="auto"/>
      <w:ind w:left="0" w:hanging="5"/>
      <w:outlineLvl w:val="0"/>
    </w:pPr>
    <w:rPr>
      <w:b/>
      <w:bCs/>
      <w:sz w:val="22"/>
    </w:rPr>
  </w:style>
  <w:style w:type="paragraph" w:styleId="Heading2">
    <w:name w:val="heading 2"/>
    <w:basedOn w:val="Normal"/>
    <w:next w:val="Normal"/>
    <w:link w:val="Heading2Char"/>
    <w:autoRedefine/>
    <w:uiPriority w:val="99"/>
    <w:qFormat/>
    <w:rsid w:val="00CF748D"/>
    <w:pPr>
      <w:keepNext/>
      <w:numPr>
        <w:ilvl w:val="1"/>
        <w:numId w:val="29"/>
      </w:numPr>
      <w:spacing w:before="120" w:after="160"/>
      <w:outlineLvl w:val="1"/>
    </w:pPr>
    <w:rPr>
      <w:b/>
      <w:bCs/>
      <w:iCs/>
      <w:sz w:val="24"/>
      <w:szCs w:val="28"/>
    </w:rPr>
  </w:style>
  <w:style w:type="paragraph" w:styleId="Heading3">
    <w:name w:val="heading 3"/>
    <w:basedOn w:val="Normal"/>
    <w:next w:val="Normal"/>
    <w:link w:val="Heading3Char"/>
    <w:autoRedefine/>
    <w:uiPriority w:val="99"/>
    <w:qFormat/>
    <w:rsid w:val="00CF748D"/>
    <w:pPr>
      <w:keepNext/>
      <w:numPr>
        <w:ilvl w:val="2"/>
        <w:numId w:val="29"/>
      </w:numPr>
      <w:spacing w:before="120" w:after="160"/>
      <w:outlineLvl w:val="2"/>
    </w:pPr>
    <w:rPr>
      <w:b/>
      <w:bCs/>
      <w:sz w:val="24"/>
      <w:szCs w:val="26"/>
    </w:rPr>
  </w:style>
  <w:style w:type="paragraph" w:styleId="Heading4">
    <w:name w:val="heading 4"/>
    <w:basedOn w:val="Normal"/>
    <w:next w:val="Normal"/>
    <w:link w:val="Heading4Char"/>
    <w:autoRedefine/>
    <w:uiPriority w:val="99"/>
    <w:qFormat/>
    <w:rsid w:val="00582276"/>
    <w:pPr>
      <w:keepNext/>
      <w:keepLines/>
      <w:spacing w:before="200"/>
      <w:outlineLvl w:val="3"/>
    </w:pPr>
    <w:rPr>
      <w:b/>
      <w:bCs/>
      <w:i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E3320"/>
    <w:rPr>
      <w:rFonts w:ascii="Cambria" w:eastAsia="Times New Roman" w:hAnsi="Cambria" w:cs="Times New Roman"/>
      <w:b/>
      <w:bCs/>
      <w:sz w:val="22"/>
      <w:szCs w:val="22"/>
    </w:rPr>
  </w:style>
  <w:style w:type="character" w:customStyle="1" w:styleId="Heading2Char">
    <w:name w:val="Heading 2 Char"/>
    <w:basedOn w:val="DefaultParagraphFont"/>
    <w:link w:val="Heading2"/>
    <w:uiPriority w:val="99"/>
    <w:locked/>
    <w:rsid w:val="00CF748D"/>
    <w:rPr>
      <w:rFonts w:ascii="Cambria" w:hAnsi="Cambria" w:cs="Times New Roman"/>
      <w:b/>
      <w:bCs/>
      <w:iCs/>
      <w:sz w:val="28"/>
      <w:szCs w:val="28"/>
    </w:rPr>
  </w:style>
  <w:style w:type="character" w:customStyle="1" w:styleId="Heading3Char">
    <w:name w:val="Heading 3 Char"/>
    <w:basedOn w:val="DefaultParagraphFont"/>
    <w:link w:val="Heading3"/>
    <w:uiPriority w:val="99"/>
    <w:locked/>
    <w:rsid w:val="001B5995"/>
    <w:rPr>
      <w:rFonts w:ascii="Cambria" w:hAnsi="Cambria" w:cs="Times New Roman"/>
      <w:b/>
      <w:bCs/>
      <w:sz w:val="26"/>
      <w:szCs w:val="26"/>
      <w:lang w:eastAsia="el-GR"/>
    </w:rPr>
  </w:style>
  <w:style w:type="character" w:customStyle="1" w:styleId="Heading4Char">
    <w:name w:val="Heading 4 Char"/>
    <w:basedOn w:val="DefaultParagraphFont"/>
    <w:link w:val="Heading4"/>
    <w:uiPriority w:val="99"/>
    <w:semiHidden/>
    <w:locked/>
    <w:rsid w:val="00582276"/>
    <w:rPr>
      <w:rFonts w:ascii="Cambria" w:hAnsi="Cambria" w:cs="Times New Roman"/>
      <w:b/>
      <w:bCs/>
      <w:iCs/>
      <w:color w:val="4F81BD"/>
      <w:sz w:val="22"/>
      <w:szCs w:val="22"/>
      <w:lang w:eastAsia="el-GR"/>
    </w:rPr>
  </w:style>
  <w:style w:type="paragraph" w:styleId="Title">
    <w:name w:val="Title"/>
    <w:basedOn w:val="Normal"/>
    <w:next w:val="Normal"/>
    <w:link w:val="TitleChar"/>
    <w:uiPriority w:val="99"/>
    <w:qFormat/>
    <w:rsid w:val="006017B9"/>
    <w:pPr>
      <w:pBdr>
        <w:bottom w:val="single" w:sz="8" w:space="4" w:color="4F81BD"/>
      </w:pBdr>
      <w:spacing w:after="300"/>
      <w:contextualSpacing/>
    </w:pPr>
    <w:rPr>
      <w:color w:val="17365D"/>
      <w:spacing w:val="5"/>
      <w:kern w:val="28"/>
      <w:sz w:val="52"/>
      <w:szCs w:val="52"/>
    </w:rPr>
  </w:style>
  <w:style w:type="character" w:customStyle="1" w:styleId="TitleChar">
    <w:name w:val="Title Char"/>
    <w:basedOn w:val="DefaultParagraphFont"/>
    <w:link w:val="Title"/>
    <w:uiPriority w:val="99"/>
    <w:locked/>
    <w:rsid w:val="006017B9"/>
    <w:rPr>
      <w:rFonts w:ascii="Cambria" w:hAnsi="Cambria" w:cs="Times New Roman"/>
      <w:color w:val="17365D"/>
      <w:spacing w:val="5"/>
      <w:kern w:val="28"/>
      <w:sz w:val="52"/>
      <w:szCs w:val="52"/>
    </w:rPr>
  </w:style>
  <w:style w:type="paragraph" w:styleId="TOC1">
    <w:name w:val="toc 1"/>
    <w:basedOn w:val="Normal"/>
    <w:next w:val="Normal"/>
    <w:autoRedefine/>
    <w:uiPriority w:val="99"/>
    <w:rsid w:val="006E3320"/>
    <w:pPr>
      <w:tabs>
        <w:tab w:val="left" w:pos="440"/>
        <w:tab w:val="right" w:leader="dot" w:pos="8296"/>
      </w:tabs>
      <w:spacing w:line="240" w:lineRule="auto"/>
      <w:ind w:left="442" w:hanging="442"/>
    </w:pPr>
    <w:rPr>
      <w:sz w:val="20"/>
    </w:rPr>
  </w:style>
  <w:style w:type="character" w:customStyle="1" w:styleId="2Char">
    <w:name w:val="Επικεφαλίδα 2 Char"/>
    <w:basedOn w:val="DefaultParagraphFont"/>
    <w:link w:val="21"/>
    <w:uiPriority w:val="99"/>
    <w:semiHidden/>
    <w:locked/>
    <w:rsid w:val="006017B9"/>
    <w:rPr>
      <w:rFonts w:ascii="Cambria" w:hAnsi="Cambria" w:cs="Times New Roman"/>
      <w:b/>
      <w:bCs/>
      <w:i/>
      <w:iCs/>
      <w:sz w:val="28"/>
      <w:szCs w:val="28"/>
    </w:rPr>
  </w:style>
  <w:style w:type="character" w:styleId="Hyperlink">
    <w:name w:val="Hyperlink"/>
    <w:basedOn w:val="DefaultParagraphFont"/>
    <w:uiPriority w:val="99"/>
    <w:rsid w:val="006017B9"/>
    <w:rPr>
      <w:rFonts w:cs="Times New Roman"/>
      <w:color w:val="0000FF"/>
      <w:u w:val="single"/>
    </w:rPr>
  </w:style>
  <w:style w:type="paragraph" w:styleId="TOCHeading">
    <w:name w:val="TOC Heading"/>
    <w:basedOn w:val="Heading1"/>
    <w:next w:val="Normal"/>
    <w:uiPriority w:val="99"/>
    <w:qFormat/>
    <w:rsid w:val="006017B9"/>
    <w:pPr>
      <w:numPr>
        <w:numId w:val="0"/>
      </w:numPr>
      <w:spacing w:before="480" w:after="0" w:line="276" w:lineRule="auto"/>
      <w:outlineLvl w:val="9"/>
    </w:pPr>
    <w:rPr>
      <w:color w:val="365F91"/>
      <w:sz w:val="28"/>
    </w:rPr>
  </w:style>
  <w:style w:type="paragraph" w:styleId="TOC2">
    <w:name w:val="toc 2"/>
    <w:basedOn w:val="Normal"/>
    <w:next w:val="Normal"/>
    <w:autoRedefine/>
    <w:uiPriority w:val="99"/>
    <w:rsid w:val="00622BC7"/>
  </w:style>
  <w:style w:type="paragraph" w:styleId="TOC3">
    <w:name w:val="toc 3"/>
    <w:basedOn w:val="Normal"/>
    <w:next w:val="Normal"/>
    <w:autoRedefine/>
    <w:uiPriority w:val="99"/>
    <w:rsid w:val="00622BC7"/>
    <w:pPr>
      <w:tabs>
        <w:tab w:val="left" w:pos="1765"/>
        <w:tab w:val="right" w:leader="dot" w:pos="8296"/>
      </w:tabs>
      <w:ind w:left="1644" w:hanging="680"/>
    </w:pPr>
  </w:style>
  <w:style w:type="paragraph" w:styleId="NoSpacing">
    <w:name w:val="No Spacing"/>
    <w:aliases w:val="βασικό_2"/>
    <w:link w:val="NoSpacingChar"/>
    <w:autoRedefine/>
    <w:uiPriority w:val="99"/>
    <w:qFormat/>
    <w:rsid w:val="001D5F91"/>
    <w:pPr>
      <w:spacing w:line="300" w:lineRule="auto"/>
      <w:jc w:val="both"/>
    </w:pPr>
    <w:rPr>
      <w:rFonts w:ascii="Times New Roman" w:hAnsi="Times New Roman"/>
      <w:sz w:val="24"/>
      <w:szCs w:val="24"/>
      <w:lang w:eastAsia="el-GR"/>
    </w:rPr>
  </w:style>
  <w:style w:type="character" w:customStyle="1" w:styleId="NoSpacingChar">
    <w:name w:val="No Spacing Char"/>
    <w:aliases w:val="βασικό_2 Char"/>
    <w:basedOn w:val="DefaultParagraphFont"/>
    <w:link w:val="NoSpacing"/>
    <w:uiPriority w:val="99"/>
    <w:locked/>
    <w:rsid w:val="001D5F91"/>
    <w:rPr>
      <w:rFonts w:ascii="Times New Roman" w:hAnsi="Times New Roman" w:cs="Times New Roman"/>
      <w:sz w:val="24"/>
      <w:szCs w:val="24"/>
      <w:lang w:val="en-US" w:eastAsia="el-GR" w:bidi="ar-SA"/>
    </w:rPr>
  </w:style>
  <w:style w:type="paragraph" w:customStyle="1" w:styleId="21">
    <w:name w:val="Επικεφαλίδα 21"/>
    <w:basedOn w:val="Normal"/>
    <w:next w:val="Normal"/>
    <w:link w:val="2Char"/>
    <w:uiPriority w:val="99"/>
    <w:semiHidden/>
    <w:rsid w:val="002C7A23"/>
    <w:pPr>
      <w:keepNext/>
      <w:spacing w:before="240" w:after="60"/>
      <w:outlineLvl w:val="1"/>
    </w:pPr>
    <w:rPr>
      <w:b/>
      <w:bCs/>
      <w:i/>
      <w:iCs/>
      <w:sz w:val="24"/>
      <w:szCs w:val="28"/>
    </w:rPr>
  </w:style>
  <w:style w:type="paragraph" w:styleId="FootnoteText">
    <w:name w:val="footnote text"/>
    <w:basedOn w:val="Normal"/>
    <w:link w:val="FootnoteTextChar"/>
    <w:uiPriority w:val="99"/>
    <w:rsid w:val="00CC0C03"/>
    <w:pPr>
      <w:spacing w:line="240" w:lineRule="auto"/>
    </w:pPr>
    <w:rPr>
      <w:sz w:val="20"/>
      <w:szCs w:val="20"/>
    </w:rPr>
  </w:style>
  <w:style w:type="character" w:customStyle="1" w:styleId="FootnoteTextChar">
    <w:name w:val="Footnote Text Char"/>
    <w:basedOn w:val="DefaultParagraphFont"/>
    <w:link w:val="FootnoteText"/>
    <w:uiPriority w:val="99"/>
    <w:locked/>
    <w:rsid w:val="00CC0C03"/>
    <w:rPr>
      <w:rFonts w:ascii="Cambria" w:eastAsia="Times New Roman" w:hAnsi="Cambria" w:cs="Times New Roman"/>
    </w:rPr>
  </w:style>
  <w:style w:type="character" w:styleId="FootnoteReference">
    <w:name w:val="footnote reference"/>
    <w:basedOn w:val="DefaultParagraphFont"/>
    <w:uiPriority w:val="99"/>
    <w:semiHidden/>
    <w:rsid w:val="002C7A23"/>
    <w:rPr>
      <w:rFonts w:cs="Times New Roman"/>
      <w:vertAlign w:val="superscript"/>
    </w:rPr>
  </w:style>
  <w:style w:type="paragraph" w:styleId="Caption">
    <w:name w:val="caption"/>
    <w:basedOn w:val="Normal"/>
    <w:next w:val="Normal"/>
    <w:uiPriority w:val="99"/>
    <w:qFormat/>
    <w:rsid w:val="002C7A23"/>
    <w:rPr>
      <w:b/>
      <w:bCs/>
      <w:sz w:val="20"/>
      <w:szCs w:val="20"/>
    </w:rPr>
  </w:style>
  <w:style w:type="paragraph" w:styleId="Header">
    <w:name w:val="header"/>
    <w:basedOn w:val="Normal"/>
    <w:link w:val="HeaderChar"/>
    <w:uiPriority w:val="99"/>
    <w:rsid w:val="002C7A23"/>
    <w:pPr>
      <w:tabs>
        <w:tab w:val="center" w:pos="4153"/>
        <w:tab w:val="right" w:pos="8306"/>
      </w:tabs>
    </w:pPr>
  </w:style>
  <w:style w:type="character" w:customStyle="1" w:styleId="HeaderChar">
    <w:name w:val="Header Char"/>
    <w:basedOn w:val="DefaultParagraphFont"/>
    <w:link w:val="Header"/>
    <w:uiPriority w:val="99"/>
    <w:locked/>
    <w:rsid w:val="002C7A23"/>
    <w:rPr>
      <w:rFonts w:ascii="Cambria" w:eastAsia="Times New Roman" w:hAnsi="Cambria" w:cs="Times New Roman"/>
      <w:sz w:val="22"/>
      <w:szCs w:val="22"/>
    </w:rPr>
  </w:style>
  <w:style w:type="paragraph" w:styleId="Footer">
    <w:name w:val="footer"/>
    <w:basedOn w:val="Normal"/>
    <w:link w:val="FooterChar"/>
    <w:uiPriority w:val="99"/>
    <w:rsid w:val="002C7A23"/>
    <w:pPr>
      <w:tabs>
        <w:tab w:val="center" w:pos="4153"/>
        <w:tab w:val="right" w:pos="8306"/>
      </w:tabs>
    </w:pPr>
  </w:style>
  <w:style w:type="character" w:customStyle="1" w:styleId="FooterChar">
    <w:name w:val="Footer Char"/>
    <w:basedOn w:val="DefaultParagraphFont"/>
    <w:link w:val="Footer"/>
    <w:uiPriority w:val="99"/>
    <w:locked/>
    <w:rsid w:val="002C7A23"/>
    <w:rPr>
      <w:rFonts w:ascii="Cambria" w:eastAsia="Times New Roman" w:hAnsi="Cambria" w:cs="Times New Roman"/>
      <w:sz w:val="22"/>
      <w:szCs w:val="22"/>
    </w:rPr>
  </w:style>
  <w:style w:type="character" w:styleId="CommentReference">
    <w:name w:val="annotation reference"/>
    <w:basedOn w:val="DefaultParagraphFont"/>
    <w:uiPriority w:val="99"/>
    <w:semiHidden/>
    <w:rsid w:val="002C7A23"/>
    <w:rPr>
      <w:rFonts w:cs="Times New Roman"/>
      <w:sz w:val="16"/>
      <w:szCs w:val="16"/>
    </w:rPr>
  </w:style>
  <w:style w:type="paragraph" w:styleId="CommentText">
    <w:name w:val="annotation text"/>
    <w:basedOn w:val="Normal"/>
    <w:link w:val="CommentTextChar"/>
    <w:uiPriority w:val="99"/>
    <w:semiHidden/>
    <w:rsid w:val="002C7A23"/>
    <w:rPr>
      <w:sz w:val="20"/>
      <w:szCs w:val="20"/>
    </w:rPr>
  </w:style>
  <w:style w:type="character" w:customStyle="1" w:styleId="CommentTextChar">
    <w:name w:val="Comment Text Char"/>
    <w:basedOn w:val="DefaultParagraphFont"/>
    <w:link w:val="CommentText"/>
    <w:uiPriority w:val="99"/>
    <w:semiHidden/>
    <w:locked/>
    <w:rsid w:val="002C7A23"/>
    <w:rPr>
      <w:rFonts w:ascii="Cambria" w:eastAsia="Times New Roman" w:hAnsi="Cambria" w:cs="Times New Roman"/>
    </w:rPr>
  </w:style>
  <w:style w:type="paragraph" w:styleId="CommentSubject">
    <w:name w:val="annotation subject"/>
    <w:basedOn w:val="CommentText"/>
    <w:next w:val="CommentText"/>
    <w:link w:val="CommentSubjectChar"/>
    <w:uiPriority w:val="99"/>
    <w:semiHidden/>
    <w:rsid w:val="002C7A23"/>
    <w:rPr>
      <w:b/>
      <w:bCs/>
    </w:rPr>
  </w:style>
  <w:style w:type="character" w:customStyle="1" w:styleId="CommentSubjectChar">
    <w:name w:val="Comment Subject Char"/>
    <w:basedOn w:val="CommentTextChar"/>
    <w:link w:val="CommentSubject"/>
    <w:uiPriority w:val="99"/>
    <w:semiHidden/>
    <w:locked/>
    <w:rsid w:val="002C7A23"/>
    <w:rPr>
      <w:b/>
      <w:bCs/>
    </w:rPr>
  </w:style>
  <w:style w:type="paragraph" w:styleId="BalloonText">
    <w:name w:val="Balloon Text"/>
    <w:basedOn w:val="Normal"/>
    <w:link w:val="BalloonTextChar"/>
    <w:uiPriority w:val="99"/>
    <w:semiHidden/>
    <w:rsid w:val="002C7A2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C7A23"/>
    <w:rPr>
      <w:rFonts w:ascii="Tahoma" w:eastAsia="Times New Roman" w:hAnsi="Tahoma" w:cs="Tahoma"/>
      <w:sz w:val="16"/>
      <w:szCs w:val="16"/>
    </w:rPr>
  </w:style>
  <w:style w:type="paragraph" w:styleId="EndnoteText">
    <w:name w:val="endnote text"/>
    <w:basedOn w:val="Normal"/>
    <w:link w:val="EndnoteTextChar"/>
    <w:uiPriority w:val="99"/>
    <w:semiHidden/>
    <w:rsid w:val="002C7A23"/>
    <w:rPr>
      <w:sz w:val="20"/>
      <w:szCs w:val="20"/>
    </w:rPr>
  </w:style>
  <w:style w:type="character" w:customStyle="1" w:styleId="EndnoteTextChar">
    <w:name w:val="Endnote Text Char"/>
    <w:basedOn w:val="DefaultParagraphFont"/>
    <w:link w:val="EndnoteText"/>
    <w:uiPriority w:val="99"/>
    <w:semiHidden/>
    <w:locked/>
    <w:rsid w:val="002C7A23"/>
    <w:rPr>
      <w:rFonts w:ascii="Cambria" w:eastAsia="Times New Roman" w:hAnsi="Cambria" w:cs="Times New Roman"/>
    </w:rPr>
  </w:style>
  <w:style w:type="character" w:styleId="EndnoteReference">
    <w:name w:val="endnote reference"/>
    <w:basedOn w:val="DefaultParagraphFont"/>
    <w:uiPriority w:val="99"/>
    <w:semiHidden/>
    <w:rsid w:val="002C7A23"/>
    <w:rPr>
      <w:rFonts w:cs="Times New Roman"/>
      <w:vertAlign w:val="superscript"/>
    </w:rPr>
  </w:style>
  <w:style w:type="character" w:styleId="LineNumber">
    <w:name w:val="line number"/>
    <w:basedOn w:val="DefaultParagraphFont"/>
    <w:uiPriority w:val="99"/>
    <w:semiHidden/>
    <w:rsid w:val="002C7A23"/>
    <w:rPr>
      <w:rFonts w:cs="Times New Roman"/>
    </w:rPr>
  </w:style>
  <w:style w:type="character" w:styleId="FollowedHyperlink">
    <w:name w:val="FollowedHyperlink"/>
    <w:basedOn w:val="DefaultParagraphFont"/>
    <w:uiPriority w:val="99"/>
    <w:semiHidden/>
    <w:rsid w:val="002C7A23"/>
    <w:rPr>
      <w:rFonts w:cs="Times New Roman"/>
      <w:color w:val="800080"/>
      <w:u w:val="single"/>
    </w:rPr>
  </w:style>
  <w:style w:type="paragraph" w:styleId="ListParagraph">
    <w:name w:val="List Paragraph"/>
    <w:basedOn w:val="Normal"/>
    <w:uiPriority w:val="99"/>
    <w:qFormat/>
    <w:rsid w:val="00C019F2"/>
    <w:pPr>
      <w:ind w:left="720"/>
      <w:contextualSpacing/>
    </w:pPr>
  </w:style>
</w:styles>
</file>

<file path=word/webSettings.xml><?xml version="1.0" encoding="utf-8"?>
<w:webSettings xmlns:r="http://schemas.openxmlformats.org/officeDocument/2006/relationships" xmlns:w="http://schemas.openxmlformats.org/wordprocessingml/2006/main">
  <w:divs>
    <w:div w:id="370032844">
      <w:marLeft w:val="0"/>
      <w:marRight w:val="0"/>
      <w:marTop w:val="0"/>
      <w:marBottom w:val="0"/>
      <w:divBdr>
        <w:top w:val="none" w:sz="0" w:space="0" w:color="auto"/>
        <w:left w:val="none" w:sz="0" w:space="0" w:color="auto"/>
        <w:bottom w:val="none" w:sz="0" w:space="0" w:color="auto"/>
        <w:right w:val="none" w:sz="0" w:space="0" w:color="auto"/>
      </w:divBdr>
    </w:div>
    <w:div w:id="370032845">
      <w:marLeft w:val="0"/>
      <w:marRight w:val="0"/>
      <w:marTop w:val="0"/>
      <w:marBottom w:val="0"/>
      <w:divBdr>
        <w:top w:val="none" w:sz="0" w:space="0" w:color="auto"/>
        <w:left w:val="none" w:sz="0" w:space="0" w:color="auto"/>
        <w:bottom w:val="none" w:sz="0" w:space="0" w:color="auto"/>
        <w:right w:val="none" w:sz="0" w:space="0" w:color="auto"/>
      </w:divBdr>
    </w:div>
    <w:div w:id="370032846">
      <w:marLeft w:val="0"/>
      <w:marRight w:val="0"/>
      <w:marTop w:val="0"/>
      <w:marBottom w:val="0"/>
      <w:divBdr>
        <w:top w:val="none" w:sz="0" w:space="0" w:color="auto"/>
        <w:left w:val="none" w:sz="0" w:space="0" w:color="auto"/>
        <w:bottom w:val="none" w:sz="0" w:space="0" w:color="auto"/>
        <w:right w:val="none" w:sz="0" w:space="0" w:color="auto"/>
      </w:divBdr>
    </w:div>
    <w:div w:id="370032847">
      <w:marLeft w:val="0"/>
      <w:marRight w:val="0"/>
      <w:marTop w:val="0"/>
      <w:marBottom w:val="0"/>
      <w:divBdr>
        <w:top w:val="none" w:sz="0" w:space="0" w:color="auto"/>
        <w:left w:val="none" w:sz="0" w:space="0" w:color="auto"/>
        <w:bottom w:val="none" w:sz="0" w:space="0" w:color="auto"/>
        <w:right w:val="none" w:sz="0" w:space="0" w:color="auto"/>
      </w:divBdr>
    </w:div>
    <w:div w:id="3700328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17</Pages>
  <Words>5221</Words>
  <Characters>29762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Πολιτική προσλήψεων ανθρώπινου δυναμικού στη δημόσια διοίκηση:</dc:title>
  <dc:subject/>
  <dc:creator>giorgio</dc:creator>
  <cp:keywords/>
  <dc:description/>
  <cp:lastModifiedBy>user</cp:lastModifiedBy>
  <cp:revision>2</cp:revision>
  <cp:lastPrinted>2017-12-18T21:30:00Z</cp:lastPrinted>
  <dcterms:created xsi:type="dcterms:W3CDTF">2019-04-13T23:03:00Z</dcterms:created>
  <dcterms:modified xsi:type="dcterms:W3CDTF">2019-04-13T23:03:00Z</dcterms:modified>
</cp:coreProperties>
</file>