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120" w:rsidRPr="00AA34D4" w:rsidRDefault="00FF2120" w:rsidP="00665A71">
      <w:pPr>
        <w:spacing w:line="360" w:lineRule="auto"/>
        <w:ind w:firstLine="720"/>
        <w:jc w:val="both"/>
        <w:rPr>
          <w:rFonts w:ascii="Times New Roman" w:hAnsi="Times New Roman" w:cs="Times New Roman"/>
          <w:sz w:val="24"/>
          <w:szCs w:val="24"/>
        </w:rPr>
      </w:pPr>
      <w:r w:rsidRPr="00AA34D4">
        <w:rPr>
          <w:rFonts w:ascii="Times New Roman" w:hAnsi="Times New Roman" w:cs="Times New Roman"/>
          <w:sz w:val="24"/>
          <w:szCs w:val="24"/>
        </w:rPr>
        <w:t>ΑΠΟΚΕΝΤΡΩΣΗ -ΤΟΠΙΚΗ ΑΥΤΟΔΙΟΙΚΗΣΗ</w:t>
      </w:r>
    </w:p>
    <w:p w:rsidR="00FF2120" w:rsidRPr="00AA34D4" w:rsidRDefault="00FF2120" w:rsidP="00665A71">
      <w:pPr>
        <w:spacing w:line="360" w:lineRule="auto"/>
        <w:ind w:firstLine="720"/>
        <w:jc w:val="both"/>
        <w:rPr>
          <w:rFonts w:ascii="Times New Roman" w:hAnsi="Times New Roman" w:cs="Times New Roman"/>
          <w:sz w:val="24"/>
          <w:szCs w:val="24"/>
        </w:rPr>
      </w:pPr>
    </w:p>
    <w:p w:rsidR="00FF2120" w:rsidRPr="00AA34D4" w:rsidRDefault="00FF2120" w:rsidP="00665A71">
      <w:pPr>
        <w:spacing w:line="360" w:lineRule="auto"/>
        <w:ind w:firstLine="720"/>
        <w:jc w:val="both"/>
        <w:rPr>
          <w:rFonts w:ascii="Times New Roman" w:hAnsi="Times New Roman" w:cs="Times New Roman"/>
          <w:sz w:val="24"/>
          <w:szCs w:val="24"/>
        </w:rPr>
      </w:pPr>
    </w:p>
    <w:p w:rsidR="00FF2120" w:rsidRPr="00AA34D4" w:rsidRDefault="00FF2120" w:rsidP="00045FC6">
      <w:pPr>
        <w:spacing w:line="360" w:lineRule="auto"/>
        <w:jc w:val="both"/>
        <w:rPr>
          <w:rFonts w:ascii="Times New Roman" w:hAnsi="Times New Roman" w:cs="Times New Roman"/>
          <w:sz w:val="24"/>
          <w:szCs w:val="24"/>
        </w:rPr>
      </w:pPr>
      <w:r w:rsidRPr="00AA34D4">
        <w:rPr>
          <w:rFonts w:ascii="Times New Roman" w:hAnsi="Times New Roman" w:cs="Times New Roman"/>
          <w:sz w:val="24"/>
          <w:szCs w:val="24"/>
        </w:rPr>
        <w:t xml:space="preserve">           Η ελληνική τοπική αυτοδιοίκηση ως πολιτικός θεσμός έχει μακρόχρονη ιστορία και είχε ένα σημαντικό ρόλο, τόσο κατά τη διάρκεια της επανάστασης, όσο και προεπαναστατικά. </w:t>
      </w:r>
    </w:p>
    <w:p w:rsidR="00FF2120" w:rsidRPr="00665A71" w:rsidRDefault="00FF2120" w:rsidP="00665A71">
      <w:pPr>
        <w:spacing w:line="360" w:lineRule="auto"/>
        <w:ind w:firstLine="720"/>
        <w:jc w:val="both"/>
        <w:rPr>
          <w:rFonts w:ascii="Times New Roman" w:hAnsi="Times New Roman" w:cs="Times New Roman"/>
          <w:sz w:val="24"/>
          <w:szCs w:val="24"/>
        </w:rPr>
      </w:pPr>
      <w:r w:rsidRPr="00AA34D4">
        <w:rPr>
          <w:rFonts w:ascii="Times New Roman" w:hAnsi="Times New Roman" w:cs="Times New Roman"/>
          <w:sz w:val="24"/>
          <w:szCs w:val="24"/>
        </w:rPr>
        <w:t xml:space="preserve">Ως διοικητικός θεσμός, στο Σύνταγμα του 1864 αναγνωρίζεται για πρώτη φορά από τη ίδρυση του νέου ελληνικού κράτους. </w:t>
      </w:r>
      <w:r w:rsidRPr="00665A71">
        <w:rPr>
          <w:rFonts w:ascii="Times New Roman" w:hAnsi="Times New Roman" w:cs="Times New Roman"/>
          <w:color w:val="FF0000"/>
          <w:sz w:val="24"/>
          <w:szCs w:val="24"/>
        </w:rPr>
        <w:t xml:space="preserve"> </w:t>
      </w:r>
      <w:r w:rsidRPr="00665A71">
        <w:rPr>
          <w:rFonts w:ascii="Times New Roman" w:hAnsi="Times New Roman" w:cs="Times New Roman"/>
          <w:sz w:val="24"/>
          <w:szCs w:val="24"/>
        </w:rPr>
        <w:t xml:space="preserve"> Το Σύνταγμα του 1911, εστιάζεται, μόνον, στην εκλογή των δημοτικών αρχών, η οποία, πραγματοποιείται δια καθολικής ψηφοφορίας. Το Σύνταγμα του 1925 εισάγει ως σύστημα οργάνωσης του κράτους, το αποκεντρωτικό σύστημα</w:t>
      </w:r>
      <w:r w:rsidRPr="00665A71">
        <w:rPr>
          <w:rFonts w:ascii="Times New Roman" w:hAnsi="Times New Roman" w:cs="Times New Roman"/>
          <w:color w:val="000000"/>
          <w:sz w:val="24"/>
          <w:szCs w:val="24"/>
        </w:rPr>
        <w:t xml:space="preserve">, για πρώτη δε, φορά, </w:t>
      </w:r>
      <w:r w:rsidRPr="00665A71">
        <w:rPr>
          <w:rFonts w:ascii="Times New Roman" w:hAnsi="Times New Roman" w:cs="Times New Roman"/>
          <w:sz w:val="24"/>
          <w:szCs w:val="24"/>
        </w:rPr>
        <w:t xml:space="preserve">περιλαμβάνεται και η έννοια του </w:t>
      </w:r>
      <w:r w:rsidRPr="00665A71">
        <w:rPr>
          <w:rFonts w:ascii="Times New Roman" w:hAnsi="Times New Roman" w:cs="Times New Roman"/>
          <w:b/>
          <w:bCs/>
          <w:sz w:val="24"/>
          <w:szCs w:val="24"/>
        </w:rPr>
        <w:t>«</w:t>
      </w:r>
      <w:r w:rsidRPr="00665A71">
        <w:rPr>
          <w:rFonts w:ascii="Times New Roman" w:hAnsi="Times New Roman" w:cs="Times New Roman"/>
          <w:sz w:val="24"/>
          <w:szCs w:val="24"/>
        </w:rPr>
        <w:t>οργανισμού τοπικής αυτοδιοικήσεως». Τα ζητήματα, τα οποία ανήκουν στην δωσιδικία του κάθε οργανισμού τοπικής αυτοδιοίκησης, διοικούνται από αιρετά όργανα, τα οποία εκλέγονται άμεσα και με καθολική ψηφοφορία από το σύνολο των πολιτών των οργανισμών αυτών. Το κράτος, ασκεί μόνον ανωτάτη εποπτεία, η οποία δεν πρέπει να εμποδίζει την ελεύθερη δράση των οργανισμών τοπικής αυτοδιοίκησης.</w:t>
      </w:r>
    </w:p>
    <w:p w:rsidR="00FF2120" w:rsidRPr="00665A71" w:rsidRDefault="00FF2120" w:rsidP="00665A71">
      <w:pPr>
        <w:spacing w:line="360" w:lineRule="auto"/>
        <w:ind w:firstLine="720"/>
        <w:jc w:val="both"/>
        <w:rPr>
          <w:rFonts w:ascii="Times New Roman" w:hAnsi="Times New Roman" w:cs="Times New Roman"/>
          <w:sz w:val="24"/>
          <w:szCs w:val="24"/>
        </w:rPr>
      </w:pPr>
      <w:r w:rsidRPr="00665A71">
        <w:rPr>
          <w:rFonts w:ascii="Times New Roman" w:hAnsi="Times New Roman" w:cs="Times New Roman"/>
          <w:sz w:val="24"/>
          <w:szCs w:val="24"/>
        </w:rPr>
        <w:t xml:space="preserve">Το Σύνταγμα του 1927, επαναλαμβάνει σχεδόν ομοιοτύπως, τη διάταξη του συντάγματος του 1925 περί των οργανισμών τοπικής αυτοδιοίκησης. χαρακτηρίζει δε τη «κοινότητα», ως την «πρώτην» βαθμίδα οργανισμών τοπικής αυτοδιοίκησης. </w:t>
      </w:r>
    </w:p>
    <w:p w:rsidR="00FF2120" w:rsidRPr="00665A71" w:rsidRDefault="00FF2120" w:rsidP="00665A71">
      <w:pPr>
        <w:spacing w:line="360" w:lineRule="auto"/>
        <w:ind w:firstLine="720"/>
        <w:jc w:val="both"/>
        <w:rPr>
          <w:rFonts w:ascii="Times New Roman" w:hAnsi="Times New Roman" w:cs="Times New Roman"/>
          <w:sz w:val="24"/>
          <w:szCs w:val="24"/>
        </w:rPr>
      </w:pPr>
      <w:r w:rsidRPr="00665A71">
        <w:rPr>
          <w:rFonts w:ascii="Times New Roman" w:hAnsi="Times New Roman" w:cs="Times New Roman"/>
          <w:sz w:val="24"/>
          <w:szCs w:val="24"/>
        </w:rPr>
        <w:t xml:space="preserve">Στο Σύνταγμα του 1952, προβλέπεται ότι η διοικητική οργάνωση του κράτους βασίζεται στην αποκέντρωση και την τοπική αυτοδιοίκηση. </w:t>
      </w:r>
    </w:p>
    <w:p w:rsidR="00FF2120" w:rsidRPr="00665A71" w:rsidRDefault="00FF2120" w:rsidP="00665A71">
      <w:pPr>
        <w:spacing w:line="360" w:lineRule="auto"/>
        <w:ind w:firstLine="720"/>
        <w:jc w:val="both"/>
        <w:rPr>
          <w:rFonts w:ascii="Times New Roman" w:hAnsi="Times New Roman" w:cs="Times New Roman"/>
          <w:sz w:val="24"/>
          <w:szCs w:val="24"/>
        </w:rPr>
      </w:pPr>
      <w:r w:rsidRPr="00665A71">
        <w:rPr>
          <w:rFonts w:ascii="Times New Roman" w:hAnsi="Times New Roman" w:cs="Times New Roman"/>
          <w:color w:val="000000"/>
          <w:sz w:val="24"/>
          <w:szCs w:val="24"/>
        </w:rPr>
        <w:t xml:space="preserve">Μετά την πτώση της δικτατορίας της 21ης Απριλίου η κυβέρνηση Εθνικής Ενότητας  με την συντακτική πράξη της 1.8.74 έθεσε σε ισχύ το Σύνταγμα του 1952 πλην εκείνων των διατάξεων που καθόριζαν τη μορφή του πολιτεύματος. </w:t>
      </w:r>
      <w:r w:rsidRPr="00665A71">
        <w:rPr>
          <w:rFonts w:ascii="Times New Roman" w:hAnsi="Times New Roman" w:cs="Times New Roman"/>
          <w:sz w:val="24"/>
          <w:szCs w:val="24"/>
        </w:rPr>
        <w:t>Το Σύνταγμα του 1975, αφιερώνει διακριτές ρυθμίσεις για την οργάνωση του κράτους. Στη διάταξη του άρθρου 101, προβλέπεται οτι η διοίκηση του κράτους οργανώνεται σύμφωνα με το αποκεντρωτικό σύστημα, η διοικητική δε διαίρεση της χώρας διαμορφώνεται βάσει των γεωοικονομικών, κοινωνικών και συγκοινωνιακών συνθηκών. Ως προς τα κρατικά περιφερειακά όργανα  ορίζει ότι:</w:t>
      </w:r>
      <w:r w:rsidRPr="00665A71">
        <w:rPr>
          <w:rFonts w:ascii="Times New Roman" w:hAnsi="Times New Roman" w:cs="Times New Roman"/>
          <w:i/>
          <w:iCs/>
          <w:sz w:val="24"/>
          <w:szCs w:val="24"/>
        </w:rPr>
        <w:t xml:space="preserve"> «..έχουν γενικήν αποφασιστικήν αρμοδιότητα επί των υποθέσεων της περιφερείας των, αι δε κεντρικαί υπηρεσίαι, πλην ειδικών αρμοδιοτήτων, την γενικήν κατεύθυνσιν, τον συντονισμόν και τον έλεγχον των περιφερειακών οργάνων, ως νόμος ορίζει»</w:t>
      </w:r>
      <w:r w:rsidRPr="00665A71">
        <w:rPr>
          <w:rFonts w:ascii="Times New Roman" w:hAnsi="Times New Roman" w:cs="Times New Roman"/>
          <w:sz w:val="24"/>
          <w:szCs w:val="24"/>
        </w:rPr>
        <w:t xml:space="preserve">. </w:t>
      </w:r>
    </w:p>
    <w:p w:rsidR="00FF2120" w:rsidRPr="00665A71" w:rsidRDefault="00FF2120" w:rsidP="00665A71">
      <w:pPr>
        <w:spacing w:line="360" w:lineRule="auto"/>
        <w:ind w:firstLine="720"/>
        <w:jc w:val="both"/>
        <w:rPr>
          <w:rFonts w:ascii="Times New Roman" w:hAnsi="Times New Roman" w:cs="Times New Roman"/>
          <w:sz w:val="24"/>
          <w:szCs w:val="24"/>
        </w:rPr>
      </w:pPr>
      <w:r w:rsidRPr="00665A71">
        <w:rPr>
          <w:rFonts w:ascii="Times New Roman" w:hAnsi="Times New Roman" w:cs="Times New Roman"/>
          <w:sz w:val="24"/>
          <w:szCs w:val="24"/>
        </w:rPr>
        <w:t xml:space="preserve">Στο Σύνταγμα του 1975 αναγνωρίζεται ο πρώτος βαθμός τοπικής αυτοδιοίκησης τον οποίο αποτελούν οι δήμοι και οι  κοινότητες και προβλέπεται η κρατική εποπτεία επί των πράξεων των δημοτικών και κοινοτικών αρχών, οι οποίες εκλέγονται με άμεση, μυστική και καθολική ψηφοφορία. </w:t>
      </w:r>
    </w:p>
    <w:p w:rsidR="00FF2120" w:rsidRPr="00665A71" w:rsidRDefault="00FF2120" w:rsidP="00665A71">
      <w:pPr>
        <w:spacing w:line="360" w:lineRule="auto"/>
        <w:ind w:firstLine="720"/>
        <w:jc w:val="both"/>
        <w:rPr>
          <w:rFonts w:ascii="Times New Roman" w:hAnsi="Times New Roman" w:cs="Times New Roman"/>
          <w:sz w:val="24"/>
          <w:szCs w:val="24"/>
        </w:rPr>
      </w:pPr>
      <w:r w:rsidRPr="00665A71">
        <w:rPr>
          <w:rFonts w:ascii="Times New Roman" w:hAnsi="Times New Roman" w:cs="Times New Roman"/>
          <w:sz w:val="24"/>
          <w:szCs w:val="24"/>
        </w:rPr>
        <w:t xml:space="preserve">Η αναθεώρηση των διατάξεων 101 και 102 του Συντάγματος του 1975 από την Η΄ αναθεωρητική Βουλή το 2001, προβλέπει τη διάκριση των αρμοδιοτήτων μεταξύ των κεντρικών και περιφερειακών κρατικών οργάνων. Ως προς τη τοπική αυτοδιοίκηση αναγνωρίζεται τεκμήριο αρμοδιότητας υπέρ των οργανισμών τοπικής αυτοδιοίκησης, προβλέπει δε  δύο βαθμούς τοπικής αυτοδιοίκησης. Τα όρια της διοικητικής εποπτείας επανέρχονται στη ρύθμιση του Συντάγματος του 1927,  δηλαδή στον έλεγχο της νομιμότητας, χωρίς να εμποδίζεται η πρωτοβουλία των οργανισμών τοπικής αυτοδιοίκησης. </w:t>
      </w:r>
    </w:p>
    <w:p w:rsidR="00FF2120" w:rsidRPr="00665A71" w:rsidRDefault="00FF2120" w:rsidP="00665A71">
      <w:pPr>
        <w:spacing w:line="360" w:lineRule="auto"/>
        <w:ind w:firstLine="720"/>
        <w:jc w:val="both"/>
        <w:rPr>
          <w:rFonts w:ascii="Times New Roman" w:hAnsi="Times New Roman" w:cs="Times New Roman"/>
          <w:sz w:val="24"/>
          <w:szCs w:val="24"/>
        </w:rPr>
      </w:pPr>
      <w:r w:rsidRPr="00665A71">
        <w:rPr>
          <w:rFonts w:ascii="Times New Roman" w:hAnsi="Times New Roman" w:cs="Times New Roman"/>
          <w:sz w:val="24"/>
          <w:szCs w:val="24"/>
        </w:rPr>
        <w:t>Η διάρθρωση των περιφερειακών οργάνων της κεντρικής διοίκησης, η οριοθέτηση μεταξύ κρατικών και τοπικών υποθέσεων, τα όρια της κρατικής εποπτείας επί των αποφάσεων των μονομελών και συλλογικών οργάνων της τοπικής αυτοδιοίκησης και η οικονομική ενίσχυση, αποτέλεσαν αντικείμενο ρυθμίσεων του κοινού νομοθέτη.</w:t>
      </w:r>
    </w:p>
    <w:p w:rsidR="00FF2120" w:rsidRPr="00665A71" w:rsidRDefault="00FF2120" w:rsidP="00665A71">
      <w:pPr>
        <w:spacing w:line="360" w:lineRule="auto"/>
        <w:ind w:firstLine="720"/>
        <w:jc w:val="both"/>
        <w:rPr>
          <w:rFonts w:ascii="Times New Roman" w:hAnsi="Times New Roman" w:cs="Times New Roman"/>
          <w:sz w:val="24"/>
          <w:szCs w:val="24"/>
        </w:rPr>
      </w:pPr>
    </w:p>
    <w:p w:rsidR="00FF2120" w:rsidRPr="007F3003" w:rsidRDefault="00FF2120" w:rsidP="00045FC6">
      <w:pPr>
        <w:spacing w:line="360" w:lineRule="auto"/>
        <w:jc w:val="both"/>
        <w:rPr>
          <w:rFonts w:ascii="Times New Roman" w:hAnsi="Times New Roman" w:cs="Times New Roman"/>
          <w:b/>
          <w:sz w:val="24"/>
          <w:szCs w:val="24"/>
        </w:rPr>
      </w:pPr>
      <w:r w:rsidRPr="007F3003">
        <w:rPr>
          <w:rFonts w:ascii="Times New Roman" w:hAnsi="Times New Roman" w:cs="Times New Roman"/>
          <w:b/>
          <w:sz w:val="24"/>
          <w:szCs w:val="24"/>
        </w:rPr>
        <w:t>Νομοθετικές επιλογές</w:t>
      </w:r>
    </w:p>
    <w:p w:rsidR="00FF2120" w:rsidRPr="00665A71" w:rsidRDefault="00FF2120" w:rsidP="00665A71">
      <w:pPr>
        <w:spacing w:line="360" w:lineRule="auto"/>
        <w:ind w:firstLine="720"/>
        <w:jc w:val="both"/>
        <w:rPr>
          <w:rFonts w:ascii="Times New Roman" w:hAnsi="Times New Roman" w:cs="Times New Roman"/>
          <w:sz w:val="24"/>
          <w:szCs w:val="24"/>
        </w:rPr>
      </w:pPr>
    </w:p>
    <w:p w:rsidR="00FF2120" w:rsidRPr="00045FC6" w:rsidRDefault="00FF2120" w:rsidP="00665A71">
      <w:pPr>
        <w:spacing w:line="360" w:lineRule="auto"/>
        <w:ind w:firstLine="720"/>
        <w:jc w:val="both"/>
        <w:rPr>
          <w:rFonts w:ascii="Times New Roman" w:hAnsi="Times New Roman" w:cs="Times New Roman"/>
          <w:sz w:val="24"/>
          <w:szCs w:val="24"/>
        </w:rPr>
      </w:pPr>
      <w:r w:rsidRPr="00045FC6">
        <w:rPr>
          <w:rFonts w:ascii="Times New Roman" w:hAnsi="Times New Roman" w:cs="Times New Roman"/>
          <w:sz w:val="24"/>
          <w:szCs w:val="24"/>
        </w:rPr>
        <w:t xml:space="preserve">Αρχές του 1834 εκδίδεται από την Αντιβασιλεία ο «Δημοτικός νόμος» (27.12.1833 / 8.1.1834)  «περί συστάσεως των δήμων» που αποτελεί  τον  πρώτο νόμο, μετά την ανεξαρτησία της Ελλάδας </w:t>
      </w:r>
      <w:r w:rsidRPr="00045FC6">
        <w:rPr>
          <w:rFonts w:ascii="Times New Roman" w:hAnsi="Times New Roman" w:cs="Times New Roman"/>
          <w:sz w:val="24"/>
          <w:szCs w:val="24"/>
          <w:vertAlign w:val="superscript"/>
        </w:rPr>
        <w:footnoteReference w:id="1"/>
      </w:r>
      <w:r w:rsidRPr="00045FC6">
        <w:rPr>
          <w:rFonts w:ascii="Times New Roman" w:hAnsi="Times New Roman" w:cs="Times New Roman"/>
          <w:sz w:val="24"/>
          <w:szCs w:val="24"/>
        </w:rPr>
        <w:t>, για την τοπική αυτοδιοίκηση. προβλέπονται Δήμοι 3 τάξεων, ανάλογα με τον πληθυσμό. Οι δήμοι διοικούνται από τον Δήμαρχο τους παρέδρους  και το δημοτικό   συμβούλιο. Ο Δήμαρχος και οι Πάρεδροι εκλέγονται, για τρία χρόνια,   εμμέσως από  ένα ειδικό εκλεκτορικό όργανο το δημαιρεσιακό συμβούλιο.</w:t>
      </w:r>
    </w:p>
    <w:p w:rsidR="00FF2120" w:rsidRPr="00665A71" w:rsidRDefault="00FF2120" w:rsidP="00665A71">
      <w:pPr>
        <w:spacing w:after="120" w:line="360" w:lineRule="auto"/>
        <w:jc w:val="both"/>
        <w:rPr>
          <w:rFonts w:ascii="Times New Roman" w:hAnsi="Times New Roman" w:cs="Times New Roman"/>
          <w:sz w:val="24"/>
          <w:szCs w:val="24"/>
        </w:rPr>
      </w:pPr>
      <w:r w:rsidRPr="00665A71">
        <w:rPr>
          <w:rFonts w:ascii="Times New Roman" w:hAnsi="Times New Roman" w:cs="Times New Roman"/>
          <w:sz w:val="24"/>
          <w:szCs w:val="24"/>
        </w:rPr>
        <w:t>Ο δημοτικός νόμος της αντιβασιλείας ς παρέμεινε σε ισχύ, αμετάβλητος μέχρι το 1914, οπότε  τέθηκε σε ισχύ ο νόμος ΔΝΖ του 1912. Μοναδική αλλαγή έλαβε χώρα , όταν στις 19 Νοεμβρίου 1864, μετά την ισχύ του νέου συντάγματος εξεδόθη ο νόμος  «περί δημαιρεσιών». Με το νόμο αυτό  δικαίωμα ψήφου είχαν όσοι είχαν συμπληρώσει το 21</w:t>
      </w:r>
      <w:r w:rsidRPr="00665A71">
        <w:rPr>
          <w:rFonts w:ascii="Times New Roman" w:hAnsi="Times New Roman" w:cs="Times New Roman"/>
          <w:sz w:val="24"/>
          <w:szCs w:val="24"/>
          <w:vertAlign w:val="superscript"/>
        </w:rPr>
        <w:t>ο</w:t>
      </w:r>
      <w:r w:rsidRPr="00665A71">
        <w:rPr>
          <w:rFonts w:ascii="Times New Roman" w:hAnsi="Times New Roman" w:cs="Times New Roman"/>
          <w:sz w:val="24"/>
          <w:szCs w:val="24"/>
        </w:rPr>
        <w:t xml:space="preserve"> έτος της ηλικίας τους  και είχαν κινητή  ή ακίνητη περιουσία ή ασκούσαν κάποιο επάγγελμα . Η θητεία δημάρχων, παρέδρων και δημοτικών συμβούλων οριζόταν  τετραετής.</w:t>
      </w:r>
    </w:p>
    <w:p w:rsidR="00FF2120" w:rsidRPr="00665A71" w:rsidRDefault="00FF2120" w:rsidP="00665A71">
      <w:pPr>
        <w:spacing w:after="120" w:line="360" w:lineRule="auto"/>
        <w:ind w:firstLine="720"/>
        <w:jc w:val="both"/>
        <w:rPr>
          <w:rFonts w:ascii="Times New Roman" w:hAnsi="Times New Roman" w:cs="Times New Roman"/>
          <w:sz w:val="24"/>
          <w:szCs w:val="24"/>
        </w:rPr>
      </w:pPr>
      <w:r w:rsidRPr="00665A71">
        <w:rPr>
          <w:rFonts w:ascii="Times New Roman" w:hAnsi="Times New Roman" w:cs="Times New Roman"/>
          <w:sz w:val="24"/>
          <w:szCs w:val="24"/>
        </w:rPr>
        <w:t>Μια από τις πρώτες μεταρρυθμιστικές παρεμβάσεις της Κυβέρνησης Βενιζέλου, στο πλαίσιο του αστικού εκσυχρονισμού του κράτους,  αποτελεί η καθιέρωση ενός νέου «δημοτικού συστήματος» το οποίο θα στηριζόταν σε  δύο οργανωτικές μονάδες στους δήμους και στις κοινότητες.  Ρητή επιδίωξη του νομοθέτη ήταν η εξυγίανση του κοινοβουλευτισμού μέσα από τον περιορισμό της επιρροής των δημαρχών – τοπαρχών και της εγκαθίδρυσης ενός μονοκεντρικού συστήματος.</w:t>
      </w:r>
      <w:r w:rsidRPr="00665A71">
        <w:rPr>
          <w:rStyle w:val="FootnoteReference"/>
          <w:rFonts w:ascii="Times New Roman" w:hAnsi="Times New Roman"/>
          <w:sz w:val="24"/>
          <w:szCs w:val="24"/>
        </w:rPr>
        <w:footnoteReference w:id="2"/>
      </w:r>
      <w:r w:rsidRPr="00665A71">
        <w:rPr>
          <w:rFonts w:ascii="Times New Roman" w:hAnsi="Times New Roman" w:cs="Times New Roman"/>
          <w:sz w:val="24"/>
          <w:szCs w:val="24"/>
        </w:rPr>
        <w:t xml:space="preserve">  Κύριο χαρακτηριστικό του νέου νόμου, η αχίλλειος πτέρνα του αλλά και το σημείο για το οποίο επικρίθηκε περισσότερο ήταν η ίδρυση υπερβολικά μεγάλου αριθμού κοινοτήτων(6.000 ΟΤΑ).</w:t>
      </w:r>
    </w:p>
    <w:p w:rsidR="00FF2120" w:rsidRPr="00665A71" w:rsidRDefault="00FF2120" w:rsidP="00665A71">
      <w:pPr>
        <w:widowControl/>
        <w:overflowPunct w:val="0"/>
        <w:spacing w:line="360" w:lineRule="auto"/>
        <w:jc w:val="both"/>
        <w:textAlignment w:val="baseline"/>
        <w:rPr>
          <w:rFonts w:ascii="Times New Roman" w:hAnsi="Times New Roman" w:cs="Times New Roman"/>
          <w:sz w:val="24"/>
          <w:szCs w:val="24"/>
        </w:rPr>
      </w:pPr>
      <w:r w:rsidRPr="00665A71">
        <w:rPr>
          <w:rFonts w:ascii="Times New Roman" w:hAnsi="Times New Roman" w:cs="Times New Roman"/>
          <w:sz w:val="24"/>
          <w:szCs w:val="24"/>
        </w:rPr>
        <w:t>Οι δήμοι περιορίστηκαν στις πρωτεύουσες νομών και πόλεις με πληθυσμό άνω των 10.000 κατοίκων.  Ως κοινότητες αναγνωρίστηκαν συνοικισμοί με πληθυσμό άνω των 300 κατοίκων, εφόσον στην περιφέρειά τους λειτουργεί σχολείο στοιχειώδους εκπαίδευσης. Το πληθυσμιακό κριτήριο αίρεται, εφόσον λειτουργεί σχολείο στοιχειώδους εκπαίδευσης και υποβληθεί αίτημα από το 50% τουλάχιστον των κατοίκων του συνοικισμού. Ο νόμος, πάντως, αναγνωρίζει ως κοινότητες και συνοικισμούς, οι οποίοι κατά το χρόνο της εφαρμογής του ήταν έδρες δήμων ή διέθεταν περιουσία, η διαχείριση της οποίας απέδιδε ετησίως 2.000 τουλάχιστον δραχμές, υπό τον όρο στην περίπτωση αυτή, να υποβληθεί αίτημα από το ήμισυ τουλάχιστον των κατοίκων του συνοικισμού.</w:t>
      </w:r>
    </w:p>
    <w:p w:rsidR="00FF2120" w:rsidRPr="00665A71" w:rsidRDefault="00FF2120" w:rsidP="00665A71">
      <w:pPr>
        <w:widowControl/>
        <w:overflowPunct w:val="0"/>
        <w:spacing w:line="360" w:lineRule="auto"/>
        <w:jc w:val="both"/>
        <w:textAlignment w:val="baseline"/>
        <w:rPr>
          <w:rFonts w:ascii="Times New Roman" w:hAnsi="Times New Roman" w:cs="Times New Roman"/>
          <w:sz w:val="24"/>
          <w:szCs w:val="24"/>
        </w:rPr>
      </w:pPr>
      <w:r w:rsidRPr="00665A71">
        <w:rPr>
          <w:rFonts w:ascii="Times New Roman" w:hAnsi="Times New Roman" w:cs="Times New Roman"/>
          <w:sz w:val="24"/>
          <w:szCs w:val="24"/>
        </w:rPr>
        <w:t xml:space="preserve">Συγχρόνως ο νέος νόμος προβλέπει τις «εκούσιες συνενώσεις». Δύο ή περισσότερες κοινότητες, δύνανται, μετά από αίτημα του ήμισυ τουλάχιστον του πληθυσμού κάθε κοινότητας προς τα κοινοτικά συμβούλια και τη σύμφωνη γνώμη των κοινοτικών συμβουλίων, να αποτελέσουν ιδία κοινότητα. Για τη συνένωση εκδίδεται  διάταγμα(βασιλικό) μετά από πρόταση του Υπουργού Εσωτερικών, στον οποίο υποβάλλονται δια του Νομάρχη. Οι κοινότητες έχουν αυτοδιοίκηση για τις τοπικές υποθέσεις, σύμφωνα με το νόμο, που απορρέουν από τον κοινωνικό και δημόσιο σκοπό τον οποίο επιτελούν. Οι κοινότητες διοικούνται από κοινοτικό συμβούλιο, το οποίο εκλέγεται με άμεση, μυστική και καθολική ψηφοφορία για τετραετή θητεία. </w:t>
      </w:r>
    </w:p>
    <w:p w:rsidR="00FF2120" w:rsidRPr="00665A71" w:rsidRDefault="00FF2120" w:rsidP="00665A71">
      <w:pPr>
        <w:widowControl/>
        <w:overflowPunct w:val="0"/>
        <w:spacing w:line="360" w:lineRule="auto"/>
        <w:jc w:val="both"/>
        <w:textAlignment w:val="baseline"/>
        <w:rPr>
          <w:rFonts w:ascii="Times New Roman" w:hAnsi="Times New Roman" w:cs="Times New Roman"/>
          <w:sz w:val="24"/>
          <w:szCs w:val="24"/>
        </w:rPr>
      </w:pPr>
    </w:p>
    <w:p w:rsidR="00FF2120" w:rsidRPr="00665A71" w:rsidRDefault="00FF2120" w:rsidP="00665A71">
      <w:pPr>
        <w:spacing w:after="120" w:line="360" w:lineRule="auto"/>
        <w:jc w:val="both"/>
        <w:rPr>
          <w:rFonts w:ascii="Times New Roman" w:hAnsi="Times New Roman" w:cs="Times New Roman"/>
          <w:b/>
          <w:sz w:val="24"/>
          <w:szCs w:val="24"/>
        </w:rPr>
      </w:pPr>
      <w:r w:rsidRPr="00665A71">
        <w:rPr>
          <w:rFonts w:ascii="Times New Roman" w:hAnsi="Times New Roman" w:cs="Times New Roman"/>
          <w:b/>
          <w:sz w:val="24"/>
          <w:szCs w:val="24"/>
        </w:rPr>
        <w:t>Ο Δημοτικός Κώδικας του 1954</w:t>
      </w:r>
    </w:p>
    <w:p w:rsidR="00FF2120" w:rsidRPr="00665A71" w:rsidRDefault="00FF2120" w:rsidP="00665A71">
      <w:pPr>
        <w:widowControl/>
        <w:overflowPunct w:val="0"/>
        <w:spacing w:line="360" w:lineRule="auto"/>
        <w:jc w:val="both"/>
        <w:textAlignment w:val="baseline"/>
        <w:rPr>
          <w:rFonts w:ascii="Times New Roman" w:hAnsi="Times New Roman" w:cs="Times New Roman"/>
          <w:sz w:val="24"/>
          <w:szCs w:val="24"/>
        </w:rPr>
      </w:pPr>
      <w:r w:rsidRPr="00665A71">
        <w:rPr>
          <w:rFonts w:ascii="Times New Roman" w:hAnsi="Times New Roman" w:cs="Times New Roman"/>
          <w:sz w:val="24"/>
          <w:szCs w:val="24"/>
        </w:rPr>
        <w:t>Μετά τον πόλεμο και την κατοχή ξεκινά προσπάθεια θέσπισης νέου</w:t>
      </w:r>
      <w:r w:rsidRPr="00665A71">
        <w:rPr>
          <w:rFonts w:ascii="Times New Roman" w:hAnsi="Times New Roman" w:cs="Times New Roman"/>
          <w:color w:val="0000FF"/>
          <w:sz w:val="24"/>
          <w:szCs w:val="24"/>
        </w:rPr>
        <w:t xml:space="preserve"> </w:t>
      </w:r>
      <w:r w:rsidRPr="00665A71">
        <w:rPr>
          <w:rFonts w:ascii="Times New Roman" w:hAnsi="Times New Roman" w:cs="Times New Roman"/>
          <w:sz w:val="24"/>
          <w:szCs w:val="24"/>
        </w:rPr>
        <w:t>Δημοτικού και Κοινοτικού Κώδικα. Προς τούτο συστάθηκε, το 1946,  με Απόφαση του Υπουργού Εσωτερικών  επιτροπή  για τη σύνταξη του νέου Κώδικα , η οποία το 1951  με νεότερη υπουργική απόφαση αντικαταστάθηκε από άλλη. Η επιτροπή αυτή κατέθεσε τελικά, το 1954, σχέδιο το οποίο κυρώθηκε με το Ν.Δ. 2888/1954 «περί κυρώσεως Δημοτικού και Κοινοτικού Κώδικος» (ΦΕΚ 139/Α/1.7.1954)</w:t>
      </w:r>
      <w:r w:rsidRPr="00665A71">
        <w:rPr>
          <w:rStyle w:val="FootnoteReference"/>
          <w:rFonts w:ascii="Times New Roman" w:hAnsi="Times New Roman"/>
          <w:sz w:val="24"/>
          <w:szCs w:val="24"/>
        </w:rPr>
        <w:footnoteReference w:id="3"/>
      </w:r>
      <w:r w:rsidRPr="00665A71">
        <w:rPr>
          <w:rFonts w:ascii="Times New Roman" w:hAnsi="Times New Roman" w:cs="Times New Roman"/>
          <w:sz w:val="24"/>
          <w:szCs w:val="24"/>
        </w:rPr>
        <w:t xml:space="preserve"> Ο Δημοτικός νόμος του 1954 κινήθηκε, σε γενικές γραμμές στο πλαίσιο  του νόμου του 1912, περιοριζόμενος ουσιαστικά στην ανανέωση και τον  εκσυγχρονισμό των διατάξεων του νόμου αυτού, χωρίς να διακινδυνεύσει οποιαδήποτε  τολμηρή αλλαγή, κυρίως όσον αφορά τον κατακερματισμό που υπήρχε στον χώρο της τοπικής αυτοδιοίκησης.</w:t>
      </w:r>
    </w:p>
    <w:p w:rsidR="00FF2120" w:rsidRPr="00665A71" w:rsidRDefault="00FF2120" w:rsidP="00665A71">
      <w:pPr>
        <w:widowControl/>
        <w:overflowPunct w:val="0"/>
        <w:spacing w:line="360" w:lineRule="auto"/>
        <w:jc w:val="both"/>
        <w:textAlignment w:val="baseline"/>
        <w:rPr>
          <w:rFonts w:ascii="Times New Roman" w:hAnsi="Times New Roman" w:cs="Times New Roman"/>
          <w:sz w:val="24"/>
          <w:szCs w:val="24"/>
        </w:rPr>
      </w:pPr>
      <w:r w:rsidRPr="00665A71">
        <w:rPr>
          <w:rFonts w:ascii="Times New Roman" w:hAnsi="Times New Roman" w:cs="Times New Roman"/>
          <w:sz w:val="24"/>
          <w:szCs w:val="24"/>
        </w:rPr>
        <w:t>Οι διατάξεις του κώδικα του 1954 ίσχυσαν, ως προς τη διοίκηση της τοπικής αυτοδιοίκησης μέχρι τη δικτατορία του 1967, όταν το απολυταρχικό καθεστώς, αντικατέστησε τα αιρετά όργανα, διορίζοντας νέα.</w:t>
      </w:r>
    </w:p>
    <w:p w:rsidR="00FF2120" w:rsidRPr="00665A71" w:rsidRDefault="00FF2120" w:rsidP="00665A71">
      <w:pPr>
        <w:widowControl/>
        <w:overflowPunct w:val="0"/>
        <w:spacing w:line="360" w:lineRule="auto"/>
        <w:jc w:val="both"/>
        <w:textAlignment w:val="baseline"/>
        <w:rPr>
          <w:rFonts w:ascii="Times New Roman" w:hAnsi="Times New Roman" w:cs="Times New Roman"/>
          <w:sz w:val="24"/>
          <w:szCs w:val="24"/>
        </w:rPr>
      </w:pPr>
    </w:p>
    <w:p w:rsidR="00FF2120" w:rsidRPr="00665A71" w:rsidRDefault="00FF2120" w:rsidP="00665A71">
      <w:pPr>
        <w:spacing w:line="360" w:lineRule="auto"/>
        <w:jc w:val="both"/>
        <w:rPr>
          <w:rFonts w:ascii="Times New Roman" w:hAnsi="Times New Roman" w:cs="Times New Roman"/>
          <w:b/>
          <w:sz w:val="24"/>
          <w:szCs w:val="24"/>
        </w:rPr>
      </w:pPr>
      <w:r w:rsidRPr="00665A71">
        <w:rPr>
          <w:rFonts w:ascii="Times New Roman" w:hAnsi="Times New Roman" w:cs="Times New Roman"/>
          <w:b/>
          <w:sz w:val="24"/>
          <w:szCs w:val="24"/>
        </w:rPr>
        <w:t>Οι πρώτες ρυθμίσεις μετά την πτώση  της δικτατορίας.</w:t>
      </w:r>
    </w:p>
    <w:p w:rsidR="00FF2120" w:rsidRPr="00665A71" w:rsidRDefault="00FF2120" w:rsidP="00665A71">
      <w:pPr>
        <w:spacing w:after="120" w:line="360" w:lineRule="auto"/>
        <w:ind w:firstLine="720"/>
        <w:jc w:val="both"/>
        <w:rPr>
          <w:rFonts w:ascii="Times New Roman" w:hAnsi="Times New Roman" w:cs="Times New Roman"/>
          <w:b/>
          <w:color w:val="0000FF"/>
          <w:sz w:val="24"/>
          <w:szCs w:val="24"/>
        </w:rPr>
      </w:pPr>
    </w:p>
    <w:p w:rsidR="00FF2120" w:rsidRPr="00665A71" w:rsidRDefault="00FF2120" w:rsidP="00665A71">
      <w:pPr>
        <w:overflowPunct w:val="0"/>
        <w:spacing w:after="120" w:line="360" w:lineRule="auto"/>
        <w:jc w:val="both"/>
        <w:rPr>
          <w:rFonts w:ascii="Times New Roman" w:hAnsi="Times New Roman" w:cs="Times New Roman"/>
          <w:sz w:val="24"/>
          <w:szCs w:val="24"/>
        </w:rPr>
      </w:pPr>
      <w:r w:rsidRPr="00665A71">
        <w:rPr>
          <w:rFonts w:ascii="Times New Roman" w:hAnsi="Times New Roman" w:cs="Times New Roman"/>
          <w:sz w:val="24"/>
          <w:szCs w:val="24"/>
        </w:rPr>
        <w:t>Τα πρώτα χρόνια μετά την πτώση της δικτατορίας, και αφού επανήλθαν τα αιρετά μέλη της αυτοδιοίκησης που είχαν απολυθεί,   επιχειρείται κυρίως  η επάνοδος στο προδικτατορικό καθεστώς. Τα σημαντικότερα από τα μέτρα αυτά , στα οποία περιλαμβάνεται μια ακόμη κωδικοποίηση  των σχετικών διατάξεων που ίσχυαν προ του δικτατορικού καθεσώτος(ν.933/1975), επαναφέρονται οι διατάξεις του ν.δ. του 1954(ν.180/1975), προβλέπεται  η άμεση εκλογή των αιρετών αρχών(ν.8/1975), δημάρχων και δημοτικών συμβουλίων, προέδρων κοινοτήτων και κοινοτικών συμβουλίων, ως εκλογικό δε σύστημα καθιερώνεται αυτό της απολύτου πλειοψηφίας για τους δήμους και τις κοινότητες, άνω των 5.000 κατοίκων, της σχετικής δε πλειοψηφίας για τις λοιπές κοινότητες. Επαναφέρονται, επίσης, οι διατάξεις περί των τοπικών ενώσεων δήμων και κοινοτήτων και της κεντρικής ένωσης δήμων και κοινοτήτων Ελλάδας(ν.215/1975), που αποτελούν νομικά πρόσωπα δημοσίου δικαίου και σκοπό έχουν την προώθηση των ζητημάτων της πρωτοβάθμιας τοπικής αυτοδιοίκησης, θεσμοθετήθηκαν δε το πρώτον, το 1952(ν.δ 2189/1952). Προβλέπεται, επίσης, η συγκρότηση συμβουλίου σε κάθε νομό, το οποίο αποτελείται από το Νομάρχη, ως πρόεδρο, τον πρόεδρο του πρωτοδικείου της έδρας του νομού, των διευθυντών εσωτερικών και τεχνικών υπηρεσιών του νομού και του δημάρχου της έδρας του νομού ως εκπροσώπου των δήμων και κοινοτήτων, με αρμοδιότητα  την έγκριση και ένταξη των δημοτικών και κοινοτικών έργων στον κεντρικό σχεδιασμό.</w:t>
      </w:r>
    </w:p>
    <w:p w:rsidR="00FF2120" w:rsidRPr="00665A71" w:rsidRDefault="00FF2120" w:rsidP="00665A71">
      <w:pPr>
        <w:spacing w:after="120" w:line="360" w:lineRule="auto"/>
        <w:jc w:val="both"/>
        <w:rPr>
          <w:rFonts w:ascii="Times New Roman" w:hAnsi="Times New Roman" w:cs="Times New Roman"/>
          <w:sz w:val="24"/>
          <w:szCs w:val="24"/>
        </w:rPr>
      </w:pPr>
      <w:r w:rsidRPr="00665A71">
        <w:rPr>
          <w:rFonts w:ascii="Times New Roman" w:hAnsi="Times New Roman" w:cs="Times New Roman"/>
          <w:sz w:val="24"/>
          <w:szCs w:val="24"/>
        </w:rPr>
        <w:t>Στο τέλος της περιόδου αυτής επιχειρείται  εκσυγχρονισμός του υφιστάμενου νομοθετικού πλαισίου με τρία κατά σειρά νομοθετήματα: Α)Ν.1080/1980 κωδικοποιεί και συμπληρώνει τις διατάξεις του β.δ του 1958 περί της επιβολής τελών και φόρων από τη τοπική αυτοδιοίκηση και ζητήματα διαχείρισης κοινόχρηστων χώρων. Σημειώνεται, ότι οι βασικές διατάξεις του βασιλικού αυτού διατάγματος ισχύουν, με σχετικές τροποποιήσεις μέχρι σήμερα.  Β) Ν.1065/1980, ο οποίος, επί της ουσίας κωδικοποιεί τις μέχρι το 1980 ισχύουσες διατάξεις σχετικά με τη διοίκηση και λειτουργία των δήμων και κοινοτήτων, ωστόσο, ενδιαφέρον παρουσιάζει η διάταξη του άρθρου 22 αυτού, με την οποία ο νομοθέτης, παρά το γεγονός ότι, διατηρεί τη διάκριση των αρμοδιοτήτων σε αποκλειστικές και συντρέχουσες, αποδίδει στους δήμους και τις κοινότητες «γενική αρμοδιότητα όλων των τοπικών υποθέσεων». Πρέπει να σημειωθεί ότι,  η διάταξη αυτή θα επαναληφθεί στα μεταγενέστερα νομοθετήματα για τη διοίκηση των τοπικών υποθέσεων, έως ότου με την αναθεώρηση του συντάγματος το 2001, θα κατοχυρωθεί συνταγματικά το τεκμήριο αρμοδιότητας υπέρ της τοπικής αυτοδιοίκησης. Ενδιαφέρον, επίσης, παρουσιάζουν οι διατάξεις για την επιχειρηματική δραστηριότητα της τοπικής αυτοδιοίκησης. Ο νόμος περιλαμβάνει για πρώτη φορά ειδικές ρυθμίσεις για τη σύσταση «επιχειρήσεων» από δήμους και κοινότητες ή τη συμμετοχή των δήμων σε υφιστάμενες επιχειρήσεις, με αντικείμενο την εκτέλεση έργων για την εξυπηρέτηση του κοινού και την ανάπτυξη επιχειρηματικής δραστηριότητας με σκοπό την πραγματοποίηση εσόδων. Επιτρέπει, συνεπώς, σε αντίθεση με τις μέχρι το 1980 ισχύουσες περί της επιχειρηματικής δραστηριότητας της τοπικής αυτοδιοίκησης διατάξεις, τη συμμετοχή των δήμων και κοινοτήτων για πρώτη φορά, σε ανώνυμες εταιρίες, με στόχο την ενίσχυση του προϋπολογισμού τους, αλλά και την εκμετάλλευση της δημοτικής και κοινοτικής περιουσίας. Γ)Ν. 1069/1980  με τις διατάξεις του οποίου επιτρέπεται η εκμετάλλευση του κυκλώματος ύδρευσης και αποχέτευσης των δήμων και κοινοτήτων από νομικά πρόσωπα ιδιωτικού δικαίου, διατάξεις οι οποίες με τις αναγκαίες τροποποιήσεις, εφαρμόζονται μέχρι σήμερα.</w:t>
      </w:r>
    </w:p>
    <w:p w:rsidR="00FF2120" w:rsidRPr="00665A71" w:rsidRDefault="00FF2120" w:rsidP="00665A71">
      <w:pPr>
        <w:spacing w:after="120" w:line="360" w:lineRule="auto"/>
        <w:jc w:val="both"/>
        <w:rPr>
          <w:rFonts w:ascii="Times New Roman" w:hAnsi="Times New Roman" w:cs="Times New Roman"/>
          <w:sz w:val="24"/>
          <w:szCs w:val="24"/>
        </w:rPr>
      </w:pPr>
      <w:r w:rsidRPr="00665A71">
        <w:rPr>
          <w:rFonts w:ascii="Times New Roman" w:hAnsi="Times New Roman" w:cs="Times New Roman"/>
          <w:sz w:val="24"/>
          <w:szCs w:val="24"/>
        </w:rPr>
        <w:t>Στις αρχές της δεκαετίας του 1980 επιχειρείται η δημοτική αποκέντρωση, η διοικητική αυτοτέλεια των δήμων και η λαϊκή συμμετοχή(ν.1270/1982). Ως προς τις τοπικές Αρχές αναμορφώνεται το εκλογικό σύστημα και μεταβάλλονται τα εκ του νόμου ποσοστά μεταξύ επιτυχόντων και επιλαχόντων συνδυασμών από τα δύο τρίτα και ένα τρίτο του ν. 1065/80, σε τρία πέμπτα και σε δύο πέμπτα επιτρέποντας έτσι, την εκπροσώπηση και άλλων συνδυασμών αρκεί να είχαν επιτύχει το εκλογικό μέτρο (άρθρα 8-12).  Περαιτέρω, προβλέπεται η αναγνώριση συνοικισμών που έχουν απογραφεί ως αυτοτελείς, με πληθυσμό τουλάχιστον 1000 κατοίκων, ως κοινοτήτων, στη διάταξη δε του άρθρου 48 με σκοπό την προώθηση της λαϊκής συμμετοχής στη διοίκηση των τοπικών υποθέσεων κάθε συνοικισμός που έχει απογραφεί ως αυτοτελής και έχει πληθυσμό τουλάχιστον 75 κατοίκους, εκπροσωπείται στο δημοτικό ή κοινοτικό συμβούλιο με πάρεδρο, ο οποίος εκλέγεται από το εκλογικό σώμα κατά τις διατάξεις περί της εκλογής των δημοτικών και κοινοτικών αρχών και έχει θητεία όμοια με αυτή των δημοτικών και κοινοτικών συμβουλίων.</w:t>
      </w:r>
    </w:p>
    <w:p w:rsidR="00FF2120" w:rsidRPr="00665A71" w:rsidRDefault="00FF2120" w:rsidP="00665A71">
      <w:pPr>
        <w:spacing w:after="120" w:line="360" w:lineRule="auto"/>
        <w:jc w:val="both"/>
        <w:rPr>
          <w:rFonts w:ascii="Times New Roman" w:hAnsi="Times New Roman" w:cs="Times New Roman"/>
          <w:sz w:val="24"/>
          <w:szCs w:val="24"/>
        </w:rPr>
      </w:pPr>
      <w:r w:rsidRPr="00665A71">
        <w:rPr>
          <w:rFonts w:ascii="Times New Roman" w:hAnsi="Times New Roman" w:cs="Times New Roman"/>
          <w:sz w:val="24"/>
          <w:szCs w:val="24"/>
        </w:rPr>
        <w:t>Σημαντική θεωρείται η ρύθμιση του νόμου περί της θέσπισης συνοικιακών συμβουλίων. Για την προώθηση της λαϊκής συμμετοχής στη διοίκηση των τοπικών υποθέσεων, κάθε δημοτικό και κοινοτικό συμβούλιο, μπορεί να διαιρέσει την περιοχή του δήμου ή της κοινότητας σε συνοικίες και να συγκροτήσει συνοικιακά συμβούλια.</w:t>
      </w:r>
      <w:r w:rsidRPr="00665A71">
        <w:rPr>
          <w:rFonts w:ascii="Times New Roman" w:hAnsi="Times New Roman" w:cs="Times New Roman"/>
          <w:color w:val="0000FF"/>
          <w:sz w:val="24"/>
          <w:szCs w:val="24"/>
        </w:rPr>
        <w:t xml:space="preserve"> </w:t>
      </w:r>
      <w:r w:rsidRPr="00665A71">
        <w:rPr>
          <w:rFonts w:ascii="Times New Roman" w:hAnsi="Times New Roman" w:cs="Times New Roman"/>
          <w:sz w:val="24"/>
          <w:szCs w:val="24"/>
        </w:rPr>
        <w:t>Όργανα των συνοικιακών συμβουλίων, αποτελούν η συνέλευση των κατοίκων, το συνοικιακό συμβούλιο και ο πάρεδρος. Τα συνοικιακά συμβούλια, παρά το γεγονός ότι, έγιναν ευρέως αποδεκτά από τη τοπική αυτοδιοίκηση και θεσμοθετήθηκαν σχεδόν σε κάθε δήμο, αλλά και σε κοινότητες, δεν είχαν και την αντίστοιχη αποδοχή από την ελληνική κοινωνία. Σε μία προσπάθεια να ενισχυθεί ο θεσμός, το 1986(ν.1832/1986) νομοθετείται η δυνατότητα μεταβίβασης αρμοδιοτήτων από το δημοτικό συμβούλιο στα συνοικιακά συμβούλια και ο καθορισμός με  απόφασή  του ανώτατου ύψους προϋπολογισμού εξόδων λειτουργίας κάθε συνοικιακού συμβουλίου λαμβάνοντας υπόψη τις αρμοδιότητες που του έχει μεταβιβάσει και τις δραστηριότητές του. Ωστόσο, προβλήματα που αναφύονταν μεταξύ των πολιτών για την πρόταση έργων στο δήμο, η έλλειψη αποφασιστικής αρμοδιότητας των οργάνων, η έλλειψη της διάθεσης προϋπολογισμού από τις δημοτικές αρχές, συνετέλεσαν στην αποδυνάμωση του θεσμού. Την ίδια περίοδο εισάγονται ρυθμίσεις  για την αποκέντρωση αρμοδιοτήτων από τη Κεντρική Διοίκηση προς τα περιφερειακά όργανα(ν.1416/1984) και συγχρόνως προβλέπονται νέοι θεσμοί στη τοπική αυτοδιοίκηση, οι οποίοι εγκαινιάζουν ένα νέο χαρακτήρα της τοπικής αυτοδιοίκησης, πέραν του διοικητικού και πολιτικού της, αυτόν του αναπτυξιακού.</w:t>
      </w:r>
      <w:r w:rsidRPr="00665A71">
        <w:rPr>
          <w:rFonts w:ascii="Times New Roman" w:hAnsi="Times New Roman" w:cs="Times New Roman"/>
          <w:color w:val="0000FF"/>
          <w:sz w:val="24"/>
          <w:szCs w:val="24"/>
        </w:rPr>
        <w:t xml:space="preserve"> </w:t>
      </w:r>
      <w:r w:rsidRPr="00665A71">
        <w:rPr>
          <w:rFonts w:ascii="Times New Roman" w:hAnsi="Times New Roman" w:cs="Times New Roman"/>
          <w:sz w:val="24"/>
          <w:szCs w:val="24"/>
        </w:rPr>
        <w:t>Η διάκριση των αρμοδιοτήτων της τοπικής αυτοδιοίκησης σε αποκλειστικές και συντρέχουσες διατηρείται, ωστόσο διευρύνεται  η κατηγορία των συντρεχουσών αρμοδιοτήτων και συγχρόνως μεταβιβάζονται αρμοδιότητες της κεντρικής διοίκησης προς την τοπική αυτοδιοίκηση, οι οποίες συνδέονται με τη διοίκηση έργων υποδομής. Ο νόμος 1416/1984 τροποποιεί το καθεστώς των συνενώσεων, όπως αυτό είχε θεσπιστεί με τον ν. δνζ/1912 και ίσχυε μέχρι το 1980. Στόχος, της κεντρικής διοίκησης είναι ο, κατά το δυνατόν, περιορισμός του αριθμού των κοινοτήτων. Τούτο, άλλωστε, επέβαλαν και οι νέες συνθήκες στο χώρο της τοπικής αυτοδιοίκησης: Η παραχώρηση αρμοδιοτήτων της κεντρικής διοίκησης προς τη τοπική αυτοδιοίκηση, η διεύρυνση των συντρεχουσών αρμοδιοτήτων και η θέσπιση αναπτυξιακών θεσμών για την διαχείριση έργων τοπικής σημασίας σε ευρύτερο γεωγραφικό επίπεδο, απαιτούσαν δομές στελεχωμένες με εξειδικευμένο προσωπικό και οικονομικά εύρωστους.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Οι νέες ρυθμίσεις εισάγουν οικονομικά κίνητρα σε συνδυασμό με πληθυσμιακά κριτήρια για τις εκούσιες συνενώσεις, προκειμένου να επιτύχουν το στόχο της κεντρικής διοίκησης. Η απόφαση για τη συνένωση δεν επαφίεται μόνο στη βούληση του δημοτικού ή κοινοτικού συμβουλίου, αλλά εκφράζεται και με την αποφασιστική γνώμη των πολιτών.  Με τις νέες ρυθμίσεις δήμοι ή κοινότητες που συνορεύουν μπορούν να ενωθούν σε έναν οργανισμό τοπικής αυτοδιοίκησης μετά  από απόφαση του δημοτικού ή κοινοτικού τους συμβουλίου, που λαμβάνεται με πλειοψηφία των 3/5 του συνολικού αριθμού των μελών του κάθε συμβουλίου ή αν το ζητήσουν οι μισοί τουλάχιστον από τους εκλογείς κατοίκους του καθενός από αυτούς. Αν οι κοινότητες που ενώνονται σε έναν οργανισμό έχουν συνολικό πληθυσμό πάνω από δυόμιση χιλιάδες κατοίκους, ο νέος οργανισμός αποτελεί δήμο. Δήμο αποτελεί και ο νέος οργανισμός που προκύπτει από την ένωση ενός δήμου με κοινότητες ανεξάρτητα από τον πληθυσμό του. Σε καθεμία από τις κοινότητες, που ενώνονται με δήμο ή με άλλη κοινότητα σε νέο οργανισμό, εκλέγεται πάρεδρος ανεξάρτητα από τον πληθυσμό τους. Συνοικισμός, που δεν συνορεύει με το δήμο ή την κοινότητα στον οποίο υπάγεται διοικητικά, προσαρτάται σε έναν από τους δήμους ή κοινότητες με τους οποίους συνορεύει</w:t>
      </w:r>
      <w:r w:rsidRPr="00665A71">
        <w:rPr>
          <w:rStyle w:val="FootnoteReference"/>
          <w:rFonts w:ascii="Times New Roman" w:hAnsi="Times New Roman"/>
          <w:sz w:val="24"/>
          <w:szCs w:val="24"/>
        </w:rPr>
        <w:footnoteReference w:id="4"/>
      </w:r>
      <w:r w:rsidRPr="00665A71">
        <w:rPr>
          <w:rFonts w:ascii="Times New Roman" w:hAnsi="Times New Roman" w:cs="Times New Roman"/>
          <w:sz w:val="24"/>
          <w:szCs w:val="24"/>
        </w:rPr>
        <w:t>. Η επιφυλακτικότητα για την επίτευξη του στόχου του περιορισμού των οργανισμών τοπικής αυτοδιοίκησης, οδήγησε στην διατήρηση του θεσμού των συνδέσμων των δήμων και κοινοτήτων</w:t>
      </w:r>
      <w:r w:rsidRPr="00665A71">
        <w:rPr>
          <w:rStyle w:val="FootnoteReference"/>
          <w:rFonts w:ascii="Times New Roman" w:hAnsi="Times New Roman"/>
          <w:sz w:val="24"/>
          <w:szCs w:val="24"/>
        </w:rPr>
        <w:footnoteReference w:id="5"/>
      </w:r>
      <w:r w:rsidRPr="00665A71">
        <w:rPr>
          <w:rFonts w:ascii="Times New Roman" w:hAnsi="Times New Roman" w:cs="Times New Roman"/>
          <w:sz w:val="24"/>
          <w:szCs w:val="24"/>
        </w:rPr>
        <w:t>, ο οποίος θεσπίστηκε το πρώτον από το νόμο δνζ/1912. Οι διατάξεις περί των συνδέσμων είναι συμπληρωματικές αυτών, οι οποίες ίσχυαν κατά το χρόνο αυτό και αναφέρονται στη διαδικασία σύστασης από δήμους και κοινότητες, οι οποίες έχουν κοινά ενδιαφέροντα και δεν ανήκουν σε όμορους νομούς</w:t>
      </w:r>
      <w:r w:rsidRPr="00665A71">
        <w:rPr>
          <w:rStyle w:val="FootnoteReference"/>
          <w:rFonts w:ascii="Times New Roman" w:hAnsi="Times New Roman"/>
          <w:sz w:val="24"/>
          <w:szCs w:val="24"/>
        </w:rPr>
        <w:footnoteReference w:id="6"/>
      </w:r>
      <w:r w:rsidRPr="00665A71">
        <w:rPr>
          <w:rFonts w:ascii="Times New Roman" w:hAnsi="Times New Roman" w:cs="Times New Roman"/>
          <w:sz w:val="24"/>
          <w:szCs w:val="24"/>
        </w:rPr>
        <w:t>, προβλέπεται δε, για την εκπλήρωση των σκοπών τους η αναγκαστική απαλλοτρίωση αστικών και αγροτικών ακινήτων και η σύσταση εμπραγμάτου δικαιώματος επί αυτών</w:t>
      </w:r>
      <w:r w:rsidRPr="00665A71">
        <w:rPr>
          <w:rStyle w:val="FootnoteReference"/>
          <w:rFonts w:ascii="Times New Roman" w:hAnsi="Times New Roman"/>
          <w:sz w:val="24"/>
          <w:szCs w:val="24"/>
        </w:rPr>
        <w:footnoteReference w:id="7"/>
      </w:r>
      <w:r w:rsidRPr="00665A71">
        <w:rPr>
          <w:rFonts w:ascii="Times New Roman" w:hAnsi="Times New Roman" w:cs="Times New Roman"/>
          <w:sz w:val="24"/>
          <w:szCs w:val="24"/>
        </w:rPr>
        <w:t xml:space="preserve">.     Με το νόμο 1416/1984 θεσπίζεται ένας νέος θεσμός,  οι αναπτυξιακοί σύνδεσμοι. Η διαφοροποίηση των αναπτυξιακών συνδέσμων από τους κοινούς συνδέσμους έγκειται στη διαδικασία σύστασης και στους σκοπούς τους. Ο σκοπός των αναπτυξιακών συνδέσμων είναι, κατά το νόμο, αναπτυξιακός. Ωστόσο, με δεδομένη την έννοια της ανάπτυξης, η οποία χαρακτηρίζεται τόσο από τον χρόνο, όσο και από τον χρόνο, οι σκοποί των αναπτυξιακών συνδέσμων δεν διαφέρουν από αυτούς των κοινών. </w:t>
      </w:r>
    </w:p>
    <w:p w:rsidR="00FF2120" w:rsidRPr="00AA34D4" w:rsidRDefault="00FF2120" w:rsidP="00665A71">
      <w:pPr>
        <w:spacing w:line="360" w:lineRule="auto"/>
        <w:jc w:val="both"/>
        <w:rPr>
          <w:rFonts w:ascii="Times New Roman" w:hAnsi="Times New Roman" w:cs="Times New Roman"/>
          <w:sz w:val="24"/>
          <w:szCs w:val="24"/>
        </w:rPr>
      </w:pPr>
      <w:r w:rsidRPr="00AA34D4">
        <w:rPr>
          <w:rFonts w:ascii="Times New Roman" w:hAnsi="Times New Roman" w:cs="Times New Roman"/>
          <w:sz w:val="24"/>
          <w:szCs w:val="24"/>
        </w:rPr>
        <w:t xml:space="preserve">Το 1986 ψηφίζεται </w:t>
      </w:r>
      <w:r w:rsidRPr="00AA34D4">
        <w:rPr>
          <w:rFonts w:ascii="Times New Roman" w:hAnsi="Times New Roman" w:cs="Times New Roman"/>
          <w:b/>
          <w:sz w:val="24"/>
          <w:szCs w:val="24"/>
        </w:rPr>
        <w:t>ο ν.1622/1986</w:t>
      </w:r>
      <w:r w:rsidRPr="00AA34D4">
        <w:rPr>
          <w:rFonts w:ascii="Times New Roman" w:hAnsi="Times New Roman" w:cs="Times New Roman"/>
          <w:sz w:val="24"/>
          <w:szCs w:val="24"/>
        </w:rPr>
        <w:t xml:space="preserve">, </w:t>
      </w:r>
      <w:r w:rsidRPr="00AA34D4">
        <w:rPr>
          <w:rFonts w:ascii="Times New Roman" w:hAnsi="Times New Roman" w:cs="Times New Roman"/>
          <w:i/>
          <w:sz w:val="24"/>
          <w:szCs w:val="24"/>
        </w:rPr>
        <w:t xml:space="preserve">«Τοπική αυτοδιοίκηση -  Περιφερειακή Ανάπτυξη και δημοκρατικός προγραμματισμός», </w:t>
      </w:r>
      <w:r w:rsidRPr="00AA34D4">
        <w:rPr>
          <w:rFonts w:ascii="Times New Roman" w:hAnsi="Times New Roman" w:cs="Times New Roman"/>
          <w:sz w:val="24"/>
          <w:szCs w:val="24"/>
        </w:rPr>
        <w:t>ο οποίος θεσμοθετεί τη νομαρχιακή αυτοδιοίκηση, (για πρώτη φορά μετά το Β.Δ. της 9/10.5.1923, και το τέταρτο κατά σειρά νομοθέτημα, από ιδρύσεως του ελληνικού κράτους, για την αυτοδιοίκηση β΄ βαθμού, νομαρχιακή αυτοδιοίκηση καθόσον καθορίζονται διοικητικά όρια τα</w:t>
      </w:r>
      <w:r w:rsidRPr="00665A71">
        <w:rPr>
          <w:rFonts w:ascii="Times New Roman" w:hAnsi="Times New Roman" w:cs="Times New Roman"/>
          <w:color w:val="FF0000"/>
          <w:sz w:val="24"/>
          <w:szCs w:val="24"/>
        </w:rPr>
        <w:t xml:space="preserve">  </w:t>
      </w:r>
      <w:r w:rsidRPr="00AA34D4">
        <w:rPr>
          <w:rFonts w:ascii="Times New Roman" w:hAnsi="Times New Roman" w:cs="Times New Roman"/>
          <w:sz w:val="24"/>
          <w:szCs w:val="24"/>
        </w:rPr>
        <w:t>γεωγραφικά όρια των υφισταμένων νομών</w:t>
      </w:r>
      <w:r w:rsidRPr="00AA34D4">
        <w:rPr>
          <w:rStyle w:val="FootnoteReference"/>
          <w:rFonts w:ascii="Times New Roman" w:hAnsi="Times New Roman"/>
          <w:sz w:val="24"/>
          <w:szCs w:val="24"/>
        </w:rPr>
        <w:footnoteReference w:id="8"/>
      </w:r>
      <w:r w:rsidRPr="00AA34D4">
        <w:rPr>
          <w:rFonts w:ascii="Times New Roman" w:hAnsi="Times New Roman" w:cs="Times New Roman"/>
          <w:sz w:val="24"/>
          <w:szCs w:val="24"/>
        </w:rPr>
        <w:t>, πλην εξαιρέσεων που μπορεί να καθοριστούν με την έκδοση προεδρικού διατάγματος., παράλληλα με το διορισμένο νομάρχη και τις κρατικές υπηρεσίες της νομαρχίας. Σκοπός του δεύτερου βαθμού τοπικής αυτοδιοίκησης ορίζεται η οικονομική, κοινωνική και πολιτιστική ανάπτυξη της περιφέρειάς τους με την ενεργό συμμετοχή των πολιτών στη διοίκηση των τοπικών υποθέσεων, διοικούνται δε από το νομαρχιακό συμβούλιο, τη νομαρχιακή επιτροπή και τον πρόεδρο του νομαρχιακού συμβουλίου. Η κατάρτιση αναπτυξιακών προγραμμάτων και η διατύπωση προτάσεων προς τους φορείς του δημόσιου τομέα για έργα και μέτρα πολιτικής που αφορούν το νομό, συντελούν στον αποφασιστικό ρόλο του δεύτερου βαθμού τοπικής αυτοδιοίκησης στην εφαρμογή δημόσιων πολιτικών στα όρια της δωσιδικίας τους.</w:t>
      </w:r>
    </w:p>
    <w:p w:rsidR="00FF2120" w:rsidRPr="00665A71" w:rsidRDefault="00FF2120" w:rsidP="00665A71">
      <w:pPr>
        <w:spacing w:after="120" w:line="360" w:lineRule="auto"/>
        <w:jc w:val="both"/>
        <w:rPr>
          <w:rFonts w:ascii="Times New Roman" w:hAnsi="Times New Roman" w:cs="Times New Roman"/>
          <w:color w:val="0000FF"/>
          <w:sz w:val="24"/>
          <w:szCs w:val="24"/>
        </w:rPr>
      </w:pPr>
      <w:r w:rsidRPr="00665A71">
        <w:rPr>
          <w:rFonts w:ascii="Times New Roman" w:hAnsi="Times New Roman" w:cs="Times New Roman"/>
          <w:sz w:val="24"/>
          <w:szCs w:val="24"/>
        </w:rPr>
        <w:t>Με στόχο την ολοκληρωμένη ανάπτυξη σε περιφερειακό επίπεδο, σε συνδυασμό με τις ανάγκες της περιοχής κάθε οργανισμού τοπικής αυτοδιοίκησης, εισάγεται στη δεκαετία αυτή ο θεσμός  του δημοκρατικού προγραμματισμού. Κατά την έννοια του νόμου ο προγραμματισμός σε τοπικό επίπεδο θεμελιώνεται στις αποφάσεις συλλογικών οργάνων της τοπικής αυτοδιοίκησης, τα οποία προτείνουν προς την κεντρική διοίκηση τα έργα υποδομής και υπηρεσίες, αναγκαίες για την προώθηση των ενδιαφερόντων των πολιτών. Η τελική απόφαση, ωστόσο, για την ένταξη των έργων και υπηρεσιών προς χρηματοδότηση στον εθνικό προγραμματισμό, ανήκει στη κεντρική διοίκηση.</w:t>
      </w:r>
      <w:r w:rsidRPr="00665A71">
        <w:rPr>
          <w:rFonts w:ascii="Times New Roman" w:hAnsi="Times New Roman" w:cs="Times New Roman"/>
          <w:color w:val="0000FF"/>
          <w:sz w:val="24"/>
          <w:szCs w:val="24"/>
        </w:rPr>
        <w:t xml:space="preserve"> </w:t>
      </w:r>
    </w:p>
    <w:tbl>
      <w:tblPr>
        <w:tblW w:w="9000" w:type="dxa"/>
        <w:tblCellSpacing w:w="15" w:type="dxa"/>
        <w:tblCellMar>
          <w:left w:w="0" w:type="dxa"/>
          <w:right w:w="0" w:type="dxa"/>
        </w:tblCellMar>
        <w:tblLook w:val="0000"/>
      </w:tblPr>
      <w:tblGrid>
        <w:gridCol w:w="9000"/>
      </w:tblGrid>
      <w:tr w:rsidR="00FF2120" w:rsidRPr="00665A71">
        <w:trPr>
          <w:tblCellSpacing w:w="15" w:type="dxa"/>
        </w:trPr>
        <w:tc>
          <w:tcPr>
            <w:tcW w:w="0" w:type="auto"/>
            <w:tcMar>
              <w:top w:w="15" w:type="dxa"/>
              <w:left w:w="15" w:type="dxa"/>
              <w:bottom w:w="15" w:type="dxa"/>
              <w:right w:w="15" w:type="dxa"/>
            </w:tcMar>
            <w:vAlign w:val="center"/>
          </w:tcPr>
          <w:p w:rsidR="00FF2120" w:rsidRPr="00665A71" w:rsidRDefault="00FF2120" w:rsidP="00665A71">
            <w:pPr>
              <w:pStyle w:val="NormalWeb"/>
              <w:spacing w:line="360" w:lineRule="auto"/>
              <w:jc w:val="both"/>
            </w:pPr>
          </w:p>
        </w:tc>
      </w:tr>
    </w:tbl>
    <w:p w:rsidR="00FF2120" w:rsidRPr="00665A71" w:rsidRDefault="00FF2120" w:rsidP="00665A71">
      <w:pPr>
        <w:pStyle w:val="1"/>
        <w:widowControl/>
        <w:numPr>
          <w:ilvl w:val="0"/>
          <w:numId w:val="1"/>
        </w:numPr>
        <w:overflowPunct w:val="0"/>
        <w:spacing w:line="360" w:lineRule="auto"/>
        <w:contextualSpacing w:val="0"/>
        <w:jc w:val="both"/>
        <w:textAlignment w:val="baseline"/>
        <w:rPr>
          <w:rFonts w:ascii="Times New Roman" w:hAnsi="Times New Roman" w:cs="Times New Roman"/>
          <w:vanish/>
          <w:sz w:val="24"/>
          <w:szCs w:val="24"/>
        </w:rPr>
      </w:pPr>
    </w:p>
    <w:p w:rsidR="00FF2120" w:rsidRPr="00665A71" w:rsidRDefault="00FF2120" w:rsidP="00665A71">
      <w:pPr>
        <w:pStyle w:val="1"/>
        <w:spacing w:line="360" w:lineRule="auto"/>
        <w:ind w:left="360"/>
        <w:jc w:val="both"/>
        <w:rPr>
          <w:rFonts w:ascii="Times New Roman" w:hAnsi="Times New Roman" w:cs="Times New Roman"/>
          <w:sz w:val="24"/>
          <w:szCs w:val="24"/>
        </w:rPr>
      </w:pPr>
    </w:p>
    <w:p w:rsidR="00FF2120" w:rsidRPr="00665A71" w:rsidRDefault="00FF2120" w:rsidP="00665A71">
      <w:pPr>
        <w:pStyle w:val="1"/>
        <w:widowControl/>
        <w:numPr>
          <w:ilvl w:val="0"/>
          <w:numId w:val="1"/>
        </w:numPr>
        <w:overflowPunct w:val="0"/>
        <w:spacing w:line="360" w:lineRule="auto"/>
        <w:contextualSpacing w:val="0"/>
        <w:jc w:val="both"/>
        <w:textAlignment w:val="baseline"/>
        <w:rPr>
          <w:rFonts w:ascii="Times New Roman" w:hAnsi="Times New Roman" w:cs="Times New Roman"/>
          <w:vanish/>
          <w:sz w:val="24"/>
          <w:szCs w:val="24"/>
        </w:rPr>
      </w:pPr>
    </w:p>
    <w:p w:rsidR="00FF2120" w:rsidRPr="00665A71" w:rsidRDefault="00FF2120" w:rsidP="00665A71">
      <w:pPr>
        <w:pStyle w:val="NormalWeb"/>
        <w:spacing w:line="360" w:lineRule="auto"/>
        <w:ind w:left="360"/>
        <w:jc w:val="both"/>
      </w:pPr>
      <w:r w:rsidRPr="00665A71">
        <w:t>.</w:t>
      </w:r>
    </w:p>
    <w:p w:rsidR="00FF2120" w:rsidRPr="00665A71" w:rsidRDefault="00FF2120" w:rsidP="00665A71">
      <w:pPr>
        <w:pStyle w:val="NormalWeb"/>
        <w:spacing w:line="360" w:lineRule="auto"/>
        <w:ind w:left="360"/>
        <w:jc w:val="both"/>
      </w:pPr>
    </w:p>
    <w:tbl>
      <w:tblPr>
        <w:tblW w:w="9000" w:type="dxa"/>
        <w:tblCellSpacing w:w="15" w:type="dxa"/>
        <w:tblCellMar>
          <w:left w:w="0" w:type="dxa"/>
          <w:right w:w="0" w:type="dxa"/>
        </w:tblCellMar>
        <w:tblLook w:val="0000"/>
      </w:tblPr>
      <w:tblGrid>
        <w:gridCol w:w="9000"/>
      </w:tblGrid>
      <w:tr w:rsidR="00FF2120" w:rsidRPr="00665A71">
        <w:trPr>
          <w:tblCellSpacing w:w="15" w:type="dxa"/>
        </w:trPr>
        <w:tc>
          <w:tcPr>
            <w:tcW w:w="0" w:type="auto"/>
            <w:tcMar>
              <w:top w:w="15" w:type="dxa"/>
              <w:left w:w="15" w:type="dxa"/>
              <w:bottom w:w="15" w:type="dxa"/>
              <w:right w:w="15" w:type="dxa"/>
            </w:tcMar>
            <w:vAlign w:val="center"/>
          </w:tcPr>
          <w:p w:rsidR="00FF2120" w:rsidRPr="00665A71" w:rsidRDefault="00FF2120" w:rsidP="00665A71">
            <w:pPr>
              <w:pStyle w:val="NormalWeb"/>
              <w:spacing w:line="360" w:lineRule="auto"/>
              <w:jc w:val="both"/>
            </w:pPr>
            <w:r w:rsidRPr="00665A71">
              <w:t xml:space="preserve"> </w:t>
            </w:r>
          </w:p>
        </w:tc>
      </w:tr>
    </w:tbl>
    <w:p w:rsidR="00FF2120" w:rsidRPr="00665A71" w:rsidRDefault="00FF2120" w:rsidP="00665A71">
      <w:pPr>
        <w:pStyle w:val="1"/>
        <w:widowControl/>
        <w:numPr>
          <w:ilvl w:val="0"/>
          <w:numId w:val="1"/>
        </w:numPr>
        <w:overflowPunct w:val="0"/>
        <w:spacing w:line="360" w:lineRule="auto"/>
        <w:contextualSpacing w:val="0"/>
        <w:jc w:val="both"/>
        <w:textAlignment w:val="baseline"/>
        <w:rPr>
          <w:rFonts w:ascii="Times New Roman" w:hAnsi="Times New Roman" w:cs="Times New Roman"/>
          <w:vanish/>
          <w:sz w:val="24"/>
          <w:szCs w:val="24"/>
        </w:rPr>
      </w:pPr>
    </w:p>
    <w:tbl>
      <w:tblPr>
        <w:tblW w:w="9000" w:type="dxa"/>
        <w:tblCellSpacing w:w="15" w:type="dxa"/>
        <w:tblCellMar>
          <w:left w:w="0" w:type="dxa"/>
          <w:right w:w="0" w:type="dxa"/>
        </w:tblCellMar>
        <w:tblLook w:val="0000"/>
      </w:tblPr>
      <w:tblGrid>
        <w:gridCol w:w="9000"/>
      </w:tblGrid>
      <w:tr w:rsidR="00FF2120" w:rsidRPr="00665A71">
        <w:trPr>
          <w:tblCellSpacing w:w="15" w:type="dxa"/>
        </w:trPr>
        <w:tc>
          <w:tcPr>
            <w:tcW w:w="0" w:type="auto"/>
            <w:tcMar>
              <w:top w:w="15" w:type="dxa"/>
              <w:left w:w="15" w:type="dxa"/>
              <w:bottom w:w="15" w:type="dxa"/>
              <w:right w:w="15" w:type="dxa"/>
            </w:tcMar>
            <w:vAlign w:val="bottom"/>
          </w:tcPr>
          <w:p w:rsidR="00FF2120" w:rsidRPr="00665A71" w:rsidRDefault="00FF2120" w:rsidP="00665A71">
            <w:pPr>
              <w:spacing w:line="360" w:lineRule="auto"/>
              <w:jc w:val="both"/>
              <w:rPr>
                <w:rFonts w:ascii="Times New Roman" w:hAnsi="Times New Roman" w:cs="Times New Roman"/>
                <w:sz w:val="24"/>
                <w:szCs w:val="24"/>
              </w:rPr>
            </w:pPr>
          </w:p>
        </w:tc>
      </w:tr>
    </w:tbl>
    <w:p w:rsidR="00FF2120" w:rsidRPr="00665A71" w:rsidRDefault="00FF2120" w:rsidP="00665A71">
      <w:pPr>
        <w:pStyle w:val="1"/>
        <w:widowControl/>
        <w:numPr>
          <w:ilvl w:val="0"/>
          <w:numId w:val="1"/>
        </w:numPr>
        <w:overflowPunct w:val="0"/>
        <w:spacing w:line="360" w:lineRule="auto"/>
        <w:contextualSpacing w:val="0"/>
        <w:jc w:val="both"/>
        <w:textAlignment w:val="baseline"/>
        <w:rPr>
          <w:rFonts w:ascii="Times New Roman" w:hAnsi="Times New Roman" w:cs="Times New Roman"/>
          <w:vanish/>
          <w:sz w:val="24"/>
          <w:szCs w:val="24"/>
        </w:rPr>
      </w:pPr>
    </w:p>
    <w:tbl>
      <w:tblPr>
        <w:tblW w:w="9522" w:type="dxa"/>
        <w:tblCellSpacing w:w="15" w:type="dxa"/>
        <w:tblInd w:w="-522" w:type="dxa"/>
        <w:tblCellMar>
          <w:left w:w="0" w:type="dxa"/>
          <w:right w:w="0" w:type="dxa"/>
        </w:tblCellMar>
        <w:tblLook w:val="0000"/>
      </w:tblPr>
      <w:tblGrid>
        <w:gridCol w:w="9522"/>
      </w:tblGrid>
      <w:tr w:rsidR="00FF2120" w:rsidRPr="00665A71">
        <w:trPr>
          <w:tblCellSpacing w:w="15" w:type="dxa"/>
        </w:trPr>
        <w:tc>
          <w:tcPr>
            <w:tcW w:w="9462" w:type="dxa"/>
            <w:tcMar>
              <w:top w:w="15" w:type="dxa"/>
              <w:left w:w="15" w:type="dxa"/>
              <w:bottom w:w="15" w:type="dxa"/>
              <w:right w:w="15" w:type="dxa"/>
            </w:tcMar>
            <w:vAlign w:val="bottom"/>
          </w:tcPr>
          <w:p w:rsidR="00FF2120" w:rsidRPr="00665A71" w:rsidRDefault="00FF2120" w:rsidP="00665A71">
            <w:pPr>
              <w:spacing w:line="360" w:lineRule="auto"/>
              <w:jc w:val="both"/>
              <w:rPr>
                <w:rFonts w:ascii="Times New Roman" w:hAnsi="Times New Roman" w:cs="Times New Roman"/>
                <w:sz w:val="24"/>
                <w:szCs w:val="24"/>
              </w:rPr>
            </w:pPr>
          </w:p>
        </w:tc>
      </w:tr>
    </w:tbl>
    <w:p w:rsidR="00FF2120" w:rsidRPr="00665A71" w:rsidRDefault="00FF2120" w:rsidP="00665A71">
      <w:pPr>
        <w:pStyle w:val="1"/>
        <w:widowControl/>
        <w:numPr>
          <w:ilvl w:val="0"/>
          <w:numId w:val="1"/>
        </w:numPr>
        <w:overflowPunct w:val="0"/>
        <w:spacing w:line="360" w:lineRule="auto"/>
        <w:contextualSpacing w:val="0"/>
        <w:jc w:val="both"/>
        <w:textAlignment w:val="baseline"/>
        <w:rPr>
          <w:rFonts w:ascii="Times New Roman" w:hAnsi="Times New Roman" w:cs="Times New Roman"/>
          <w:vanish/>
          <w:sz w:val="24"/>
          <w:szCs w:val="24"/>
        </w:rPr>
      </w:pPr>
    </w:p>
    <w:tbl>
      <w:tblPr>
        <w:tblW w:w="9000" w:type="dxa"/>
        <w:tblCellSpacing w:w="15" w:type="dxa"/>
        <w:tblCellMar>
          <w:left w:w="0" w:type="dxa"/>
          <w:right w:w="0" w:type="dxa"/>
        </w:tblCellMar>
        <w:tblLook w:val="0000"/>
      </w:tblPr>
      <w:tblGrid>
        <w:gridCol w:w="9000"/>
      </w:tblGrid>
      <w:tr w:rsidR="00FF2120" w:rsidRPr="00665A71">
        <w:trPr>
          <w:tblCellSpacing w:w="15" w:type="dxa"/>
        </w:trPr>
        <w:tc>
          <w:tcPr>
            <w:tcW w:w="0" w:type="auto"/>
            <w:tcMar>
              <w:top w:w="15" w:type="dxa"/>
              <w:left w:w="15" w:type="dxa"/>
              <w:bottom w:w="15" w:type="dxa"/>
              <w:right w:w="15" w:type="dxa"/>
            </w:tcMar>
            <w:vAlign w:val="bottom"/>
          </w:tcPr>
          <w:p w:rsidR="00FF2120" w:rsidRPr="00665A71" w:rsidRDefault="00FF2120" w:rsidP="00665A71">
            <w:pPr>
              <w:spacing w:line="360" w:lineRule="auto"/>
              <w:jc w:val="both"/>
              <w:rPr>
                <w:rFonts w:ascii="Times New Roman" w:hAnsi="Times New Roman" w:cs="Times New Roman"/>
                <w:sz w:val="24"/>
                <w:szCs w:val="24"/>
              </w:rPr>
            </w:pPr>
          </w:p>
        </w:tc>
      </w:tr>
    </w:tbl>
    <w:p w:rsidR="00FF2120" w:rsidRPr="00045FC6" w:rsidRDefault="00FF2120" w:rsidP="00665A71">
      <w:pPr>
        <w:spacing w:after="120" w:line="360" w:lineRule="auto"/>
        <w:jc w:val="both"/>
        <w:rPr>
          <w:rFonts w:ascii="Times New Roman" w:hAnsi="Times New Roman" w:cs="Times New Roman"/>
          <w:sz w:val="24"/>
          <w:szCs w:val="24"/>
        </w:rPr>
      </w:pPr>
      <w:r w:rsidRPr="00045FC6">
        <w:rPr>
          <w:rFonts w:ascii="Times New Roman" w:hAnsi="Times New Roman" w:cs="Times New Roman"/>
          <w:sz w:val="24"/>
          <w:szCs w:val="24"/>
        </w:rPr>
        <w:t xml:space="preserve">Το 1990  ψηφίζεται ο </w:t>
      </w:r>
      <w:r w:rsidRPr="00045FC6">
        <w:rPr>
          <w:rFonts w:ascii="Times New Roman" w:hAnsi="Times New Roman" w:cs="Times New Roman"/>
          <w:b/>
          <w:sz w:val="24"/>
          <w:szCs w:val="24"/>
        </w:rPr>
        <w:t xml:space="preserve">Ν.1878/90, </w:t>
      </w:r>
      <w:r w:rsidRPr="00045FC6">
        <w:rPr>
          <w:rFonts w:ascii="Times New Roman" w:hAnsi="Times New Roman" w:cs="Times New Roman"/>
          <w:i/>
          <w:sz w:val="24"/>
          <w:szCs w:val="24"/>
        </w:rPr>
        <w:t xml:space="preserve">«Τροποποίηση των διατάξεων δευτεροβάθμιας αυτοδιοίκησης ν. 1622/1986 και άλλες διατάξεις», </w:t>
      </w:r>
      <w:r w:rsidRPr="00045FC6">
        <w:rPr>
          <w:rFonts w:ascii="Times New Roman" w:hAnsi="Times New Roman" w:cs="Times New Roman"/>
          <w:sz w:val="24"/>
          <w:szCs w:val="24"/>
        </w:rPr>
        <w:t>ο οποίος επιτρέπει τη δημιουργία περισσοτέρων νομαρχιακών αυτοδιοικήσεων σε ένα νομό, αίρεται η απαγόρευση της παράλληλης υποψηφιότητας  στις δημοτικές και νομαρχιακές εκλογές και θεσπίζεται η απλή αναλογική στις νομαρχιακές εκλογές. Εξάλλου ορίζεται “ως δικλείδα εφαρμογής του νόμου” η διεξαγωγή των πρώτων νομαρχιακών εκλογών στις 14.10.1990 παράλληλα με τις δημοτικές. Μεσολαβούν οι εκλογές της άνοιξης του 1990,  και λίγο πριν τις δημοτικές εκλογές με τον ν. 1900/1990, τον οποίο πέρασε από το Τμήμα Διακοπών της Βουλής, ενέργεια που ελέγχθηκε και για την συνταγματικότητά της</w:t>
      </w:r>
      <w:r w:rsidRPr="00045FC6">
        <w:rPr>
          <w:rStyle w:val="FootnoteReference"/>
          <w:rFonts w:ascii="Times New Roman" w:hAnsi="Times New Roman"/>
          <w:sz w:val="24"/>
          <w:szCs w:val="24"/>
        </w:rPr>
        <w:footnoteReference w:id="9"/>
      </w:r>
      <w:r w:rsidRPr="00045FC6">
        <w:rPr>
          <w:rFonts w:ascii="Times New Roman" w:hAnsi="Times New Roman" w:cs="Times New Roman"/>
          <w:sz w:val="24"/>
          <w:szCs w:val="24"/>
        </w:rPr>
        <w:t xml:space="preserve">, αναβάλει την διενέργεια των νομαρχιακών εκλογών. </w:t>
      </w:r>
    </w:p>
    <w:p w:rsidR="00FF2120" w:rsidRPr="00F55059" w:rsidRDefault="00FF2120" w:rsidP="00665A71">
      <w:pPr>
        <w:spacing w:after="120" w:line="360" w:lineRule="auto"/>
        <w:jc w:val="both"/>
        <w:rPr>
          <w:rFonts w:ascii="Times New Roman" w:hAnsi="Times New Roman" w:cs="Times New Roman"/>
          <w:sz w:val="24"/>
          <w:szCs w:val="24"/>
        </w:rPr>
      </w:pPr>
      <w:r w:rsidRPr="00F55059">
        <w:rPr>
          <w:rFonts w:ascii="Times New Roman" w:hAnsi="Times New Roman" w:cs="Times New Roman"/>
          <w:sz w:val="24"/>
          <w:szCs w:val="24"/>
        </w:rPr>
        <w:t xml:space="preserve">Το 1994 ψηφίζεται, τελικώς, ο </w:t>
      </w:r>
      <w:r w:rsidRPr="00F55059">
        <w:rPr>
          <w:rFonts w:ascii="Times New Roman" w:hAnsi="Times New Roman" w:cs="Times New Roman"/>
          <w:b/>
          <w:sz w:val="24"/>
          <w:szCs w:val="24"/>
        </w:rPr>
        <w:t>ν.2218/94</w:t>
      </w:r>
      <w:r w:rsidRPr="00F55059">
        <w:rPr>
          <w:rFonts w:ascii="Times New Roman" w:hAnsi="Times New Roman" w:cs="Times New Roman"/>
          <w:sz w:val="24"/>
          <w:szCs w:val="24"/>
        </w:rPr>
        <w:t xml:space="preserve">, </w:t>
      </w:r>
      <w:r w:rsidRPr="00F55059">
        <w:rPr>
          <w:rFonts w:ascii="Times New Roman" w:hAnsi="Times New Roman" w:cs="Times New Roman"/>
          <w:i/>
          <w:sz w:val="24"/>
          <w:szCs w:val="24"/>
        </w:rPr>
        <w:t>«Ίδρυση νομαρχιακής αυτοδιοίκησης, τροποποίηση διατάξεων για την πρωτοβάθμια αυτοδιοίκηση  και την περιφέρεια και άλλες διατάξεις»</w:t>
      </w:r>
      <w:r w:rsidRPr="00F55059">
        <w:rPr>
          <w:rFonts w:ascii="Times New Roman" w:hAnsi="Times New Roman" w:cs="Times New Roman"/>
          <w:sz w:val="24"/>
          <w:szCs w:val="24"/>
        </w:rPr>
        <w:t xml:space="preserve"> Με τον νόμο αυτό καταργούνται οι νομαρχίες και αντικαθίστανται από τις Νομαρχιακές Αυτοδιοικήσεις, αυτοδιοικούμενα νομικά πρόσωπα δημοσίου δικαίου,  σχεδόν σε όλες  τους τις αρμοδιότητες πλην μερικών ρητά αναφερόμενων εξαιρέσεων</w:t>
      </w:r>
      <w:r w:rsidRPr="00F55059">
        <w:rPr>
          <w:rStyle w:val="FootnoteReference"/>
          <w:rFonts w:ascii="Times New Roman" w:hAnsi="Times New Roman"/>
          <w:sz w:val="24"/>
          <w:szCs w:val="24"/>
        </w:rPr>
        <w:footnoteReference w:id="10"/>
      </w:r>
      <w:r w:rsidRPr="00F55059">
        <w:rPr>
          <w:rFonts w:ascii="Times New Roman" w:hAnsi="Times New Roman" w:cs="Times New Roman"/>
          <w:sz w:val="24"/>
          <w:szCs w:val="24"/>
        </w:rPr>
        <w:t xml:space="preserve">  οι οποίες μεταφέρονται στην περιφέρεια. Τα όρια των νομαρχιακών αυτοδιοικήσεων, καθορίζονται στα γεωγραφικά όρια των νομών, πλην συγκεκριμένων περιπτώσεων, όπου δημιουργούνται ευρύτερα γεωγραφικά όρια(Δράμας, Καβάλας, Ξάνθης και Ροδόπης Εβρου), ενώ αντιθέτως ο νομός Αττικής διαιρείται σε 4 νομαρχιακές αυτοδιοικήσεις(Αθηνών, Πειραιώς, Ανατολικής αττικής και δυτικής αττικής) και δημιουργούνται νομαρχιακά διαμερίσματα στους νομούς που αποτελούν τη διευρυμένη νομαρχιακή αυτοδιοίκηση, καθώς και στα διαμερίσματα του νομού αττικής. </w:t>
      </w:r>
    </w:p>
    <w:p w:rsidR="00FF2120" w:rsidRPr="00F55059" w:rsidRDefault="00FF2120" w:rsidP="00F55059">
      <w:pPr>
        <w:spacing w:after="120" w:line="360" w:lineRule="auto"/>
        <w:jc w:val="both"/>
        <w:rPr>
          <w:rFonts w:ascii="Times New Roman" w:hAnsi="Times New Roman" w:cs="Times New Roman"/>
          <w:sz w:val="24"/>
          <w:szCs w:val="24"/>
        </w:rPr>
      </w:pPr>
      <w:r w:rsidRPr="00F55059">
        <w:rPr>
          <w:rFonts w:ascii="Times New Roman" w:hAnsi="Times New Roman" w:cs="Times New Roman"/>
          <w:sz w:val="24"/>
          <w:szCs w:val="24"/>
        </w:rPr>
        <w:t>Με τον ίδιο νόμο θεσμοθετούνται τα συμβούλια περιοχής για την αναδιοργάνωση της πρωτοβάθμιας αυτοδιοίκησης και καταργούνται οι υφιστάμενοι αναπτυξιακοί σύνδεσμοι, οι οποίοι μετατρέπονται σε κοινούς μέχρι της ολοκλήρωσης των έργων, τα οποία είναι σε εξέλιξη, στη συνέχεια δε, τα συμβούλια περιοχής καθίστανται καθολικοί διάδοχοι των καταργούμενων αναπτυξιακών συνδέσμων, ως προς τις</w:t>
      </w:r>
      <w:r w:rsidRPr="00665A71">
        <w:rPr>
          <w:rFonts w:ascii="Times New Roman" w:hAnsi="Times New Roman" w:cs="Times New Roman"/>
          <w:color w:val="FF0000"/>
          <w:sz w:val="24"/>
          <w:szCs w:val="24"/>
        </w:rPr>
        <w:t xml:space="preserve"> </w:t>
      </w:r>
      <w:r w:rsidRPr="00F55059">
        <w:rPr>
          <w:rFonts w:ascii="Times New Roman" w:hAnsi="Times New Roman" w:cs="Times New Roman"/>
          <w:sz w:val="24"/>
          <w:szCs w:val="24"/>
        </w:rPr>
        <w:t>υποχρεώσεις και τα δικαιώματά τους. Τα Συμβούλια περιοχής έχουν σκοπό το σχεδιασμό και προγραμματισμό της ανάπτυξης της περιοχής τους και συμμετέχουν στην αναπτυξιακή διαδικασία της περιοχής τους.</w:t>
      </w:r>
      <w:r>
        <w:rPr>
          <w:rFonts w:ascii="Times New Roman" w:hAnsi="Times New Roman" w:cs="Times New Roman"/>
          <w:color w:val="FF0000"/>
          <w:sz w:val="24"/>
          <w:szCs w:val="24"/>
        </w:rPr>
        <w:t xml:space="preserve"> </w:t>
      </w:r>
      <w:r w:rsidRPr="00F55059">
        <w:rPr>
          <w:rFonts w:ascii="Times New Roman" w:hAnsi="Times New Roman" w:cs="Times New Roman"/>
          <w:sz w:val="24"/>
          <w:szCs w:val="24"/>
        </w:rPr>
        <w:t>Καινοτομία, πάντως, του νόμου αποτελεί και η θέσπιση ενός νέου συστήματος εποπτείας των πράξεων των συλλογικών και μονομελών οργάνων της τοπικής αυτοδιοίκησης μετά το 1955 με το νόμο 3200. Η εποπτεία των πράξεων δεν γίνεται, πλέον, από ένα μονομελές όργανο της κεντρικής διοίκησης, αλλά από τριμελή επιτροπή, την οποία αρχικώς αποτελούσαν Υπηρεσιακοί της κεντρικής διοίκησης και εκπρόσωπος του νομικού συμβουλίου του κράτους, στη συνέχεια δε μετά από αλλεπάλληλες τροποποιήσεις, από Υπηρεσιακούς και εκπρόσωπο της δικαστικής αρχής. Την επιτροπή συγκροτούσε με απόφασή του ο Γενικός Γραμματέας της Περιφέρειας. Το καθεστώς αυτό διατηρήθηκε μέχρι και την εφαρμογή του νόμου 3852/2010, οπότε ιδρύεται αυτοτελής Υπηρεσία για τον έλεγχο της νομιμότητας των αποφάσεων της τοπικής αυτοδιοίκησης υπαγόμενη αρχικώς απευθείας στον Υπουργό εσωτερικών και στη συνέχεια στον Γενικό Γραμματέα της αποκεντρωμένης διοίκησης(Βλ. κατωτέρω), ωστόσο ποτέ δεν έτυχε εφαρμογής, εφόσον η κεντρική διοίκηση δεν τοποθέτησε μέχρι και το τέλος του 2015, ελεγκτή νομιμότητας, ο οποίος ήταν επικεφαλής της αυτοτελούς Υπηρεσίας.</w:t>
      </w:r>
    </w:p>
    <w:p w:rsidR="00FF2120" w:rsidRDefault="00FF2120" w:rsidP="00F55059">
      <w:pPr>
        <w:spacing w:after="120" w:line="360" w:lineRule="auto"/>
        <w:jc w:val="both"/>
        <w:rPr>
          <w:rFonts w:ascii="Times New Roman" w:hAnsi="Times New Roman" w:cs="Times New Roman"/>
          <w:sz w:val="24"/>
          <w:szCs w:val="24"/>
        </w:rPr>
      </w:pPr>
      <w:r w:rsidRPr="00F55059">
        <w:rPr>
          <w:rFonts w:ascii="Times New Roman" w:hAnsi="Times New Roman" w:cs="Times New Roman"/>
          <w:sz w:val="24"/>
          <w:szCs w:val="24"/>
        </w:rPr>
        <w:t>Με τον ίδιο νόμο προβλέπεται περιφερειακό ταμείο ανάπτυξης που ιδρύεται σε κάθε περιφέρεια, ως νομικό πρόσωπο ιδιωτικού δικαίου, με σκοπό, κυρίως, την κατανομή των πιστώσεων του προγράμματος δημοσίων επενδύσεων για τα έργα της περιοχής δωσιδικίας τους.</w:t>
      </w:r>
    </w:p>
    <w:p w:rsidR="00FF2120" w:rsidRDefault="00FF2120" w:rsidP="00F26733">
      <w:pPr>
        <w:overflowPunct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Η μεταρρύθμιση του 1994 στη τοπική αυτοδιοίκηση μεταβάλει και το σύστημα των αποκεντρωμένων οργάνων του κράτους. Ειδικότερα: Η</w:t>
      </w:r>
      <w:r w:rsidRPr="00847B00">
        <w:rPr>
          <w:rFonts w:ascii="Times New Roman" w:hAnsi="Times New Roman" w:cs="Times New Roman"/>
          <w:sz w:val="24"/>
          <w:szCs w:val="24"/>
        </w:rPr>
        <w:t xml:space="preserve"> πρώτη επίσημη διοικητική οργάνωση του νεοσύστατου κράτους</w:t>
      </w:r>
      <w:r w:rsidRPr="003251F4">
        <w:rPr>
          <w:rFonts w:ascii="Times New Roman" w:hAnsi="Times New Roman" w:cs="Times New Roman"/>
          <w:sz w:val="24"/>
          <w:szCs w:val="24"/>
        </w:rPr>
        <w:t xml:space="preserve"> </w:t>
      </w:r>
      <w:r>
        <w:rPr>
          <w:rFonts w:ascii="Times New Roman" w:hAnsi="Times New Roman" w:cs="Times New Roman"/>
          <w:sz w:val="24"/>
          <w:szCs w:val="24"/>
        </w:rPr>
        <w:t>επήλθε μ</w:t>
      </w:r>
      <w:r w:rsidRPr="003251F4">
        <w:rPr>
          <w:rFonts w:ascii="Times New Roman" w:hAnsi="Times New Roman" w:cs="Times New Roman"/>
          <w:sz w:val="24"/>
          <w:szCs w:val="24"/>
        </w:rPr>
        <w:t>ε το διάταγμα της  3</w:t>
      </w:r>
      <w:r w:rsidRPr="003251F4">
        <w:rPr>
          <w:rFonts w:ascii="Times New Roman" w:hAnsi="Times New Roman" w:cs="Times New Roman"/>
          <w:sz w:val="24"/>
          <w:szCs w:val="24"/>
          <w:vertAlign w:val="superscript"/>
        </w:rPr>
        <w:t>ης</w:t>
      </w:r>
      <w:r w:rsidRPr="003251F4">
        <w:rPr>
          <w:rFonts w:ascii="Times New Roman" w:hAnsi="Times New Roman" w:cs="Times New Roman"/>
          <w:sz w:val="24"/>
          <w:szCs w:val="24"/>
        </w:rPr>
        <w:t xml:space="preserve"> (15</w:t>
      </w:r>
      <w:r w:rsidRPr="003251F4">
        <w:rPr>
          <w:rFonts w:ascii="Times New Roman" w:hAnsi="Times New Roman" w:cs="Times New Roman"/>
          <w:sz w:val="24"/>
          <w:szCs w:val="24"/>
          <w:vertAlign w:val="superscript"/>
        </w:rPr>
        <w:t>ης</w:t>
      </w:r>
      <w:r w:rsidRPr="003251F4">
        <w:rPr>
          <w:rFonts w:ascii="Times New Roman" w:hAnsi="Times New Roman" w:cs="Times New Roman"/>
          <w:sz w:val="24"/>
          <w:szCs w:val="24"/>
        </w:rPr>
        <w:t>) Απριλίου 1833</w:t>
      </w:r>
      <w:r w:rsidRPr="003251F4">
        <w:rPr>
          <w:rFonts w:ascii="Times New Roman" w:hAnsi="Times New Roman" w:cs="Times New Roman"/>
          <w:sz w:val="24"/>
          <w:szCs w:val="24"/>
          <w:vertAlign w:val="superscript"/>
        </w:rPr>
        <w:footnoteReference w:id="11"/>
      </w:r>
      <w:r w:rsidRPr="003251F4">
        <w:rPr>
          <w:rFonts w:ascii="Times New Roman" w:hAnsi="Times New Roman" w:cs="Times New Roman"/>
          <w:sz w:val="24"/>
          <w:szCs w:val="24"/>
        </w:rPr>
        <w:t xml:space="preserve">, </w:t>
      </w:r>
      <w:r w:rsidRPr="00847B00">
        <w:rPr>
          <w:rFonts w:ascii="Times New Roman" w:hAnsi="Times New Roman" w:cs="Times New Roman"/>
          <w:sz w:val="24"/>
          <w:szCs w:val="24"/>
        </w:rPr>
        <w:t>«Περί διαιρέσεως του  Βασιλείου</w:t>
      </w:r>
      <w:r>
        <w:rPr>
          <w:rFonts w:ascii="Times New Roman" w:hAnsi="Times New Roman" w:cs="Times New Roman"/>
          <w:sz w:val="24"/>
          <w:szCs w:val="24"/>
        </w:rPr>
        <w:t xml:space="preserve">  και της διοικήσεώς του».</w:t>
      </w:r>
      <w:r w:rsidRPr="00847B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51F4">
        <w:rPr>
          <w:rFonts w:ascii="Times New Roman" w:hAnsi="Times New Roman" w:cs="Times New Roman"/>
          <w:sz w:val="24"/>
          <w:szCs w:val="24"/>
        </w:rPr>
        <w:t>Το Βασίλειο</w:t>
      </w:r>
      <w:r>
        <w:rPr>
          <w:rFonts w:ascii="Times New Roman" w:hAnsi="Times New Roman" w:cs="Times New Roman"/>
          <w:sz w:val="24"/>
          <w:szCs w:val="24"/>
        </w:rPr>
        <w:t>ν της Ελλάδος,  διαιρείται σε</w:t>
      </w:r>
      <w:r w:rsidRPr="003251F4">
        <w:rPr>
          <w:rFonts w:ascii="Times New Roman" w:hAnsi="Times New Roman" w:cs="Times New Roman"/>
          <w:sz w:val="24"/>
          <w:szCs w:val="24"/>
        </w:rPr>
        <w:t xml:space="preserve"> δέκα νομούς και 42 επαρχίας»</w:t>
      </w:r>
      <w:r w:rsidRPr="003251F4">
        <w:rPr>
          <w:rStyle w:val="FootnoteReference"/>
          <w:rFonts w:ascii="Times New Roman" w:hAnsi="Times New Roman" w:cs="Arial"/>
          <w:color w:val="0000FF"/>
        </w:rPr>
        <w:footnoteReference w:id="12"/>
      </w:r>
      <w:r w:rsidRPr="003251F4">
        <w:rPr>
          <w:rFonts w:ascii="Times New Roman" w:hAnsi="Times New Roman" w:cs="Times New Roman"/>
          <w:sz w:val="24"/>
          <w:szCs w:val="24"/>
        </w:rPr>
        <w:t>.  Κ</w:t>
      </w:r>
      <w:r>
        <w:rPr>
          <w:rFonts w:ascii="Times New Roman" w:hAnsi="Times New Roman" w:cs="Times New Roman"/>
          <w:sz w:val="24"/>
          <w:szCs w:val="24"/>
        </w:rPr>
        <w:t>άθε νομού προΐσταται ο Νομάρχης και είναι επικεφαλής αιρετού νομαρχιακού συμβουλίου,  κ</w:t>
      </w:r>
      <w:r w:rsidRPr="003251F4">
        <w:rPr>
          <w:rFonts w:ascii="Times New Roman" w:hAnsi="Times New Roman" w:cs="Times New Roman"/>
          <w:sz w:val="24"/>
          <w:szCs w:val="24"/>
        </w:rPr>
        <w:t xml:space="preserve">άθε </w:t>
      </w:r>
      <w:r>
        <w:rPr>
          <w:rFonts w:ascii="Times New Roman" w:hAnsi="Times New Roman" w:cs="Times New Roman"/>
          <w:sz w:val="24"/>
          <w:szCs w:val="24"/>
        </w:rPr>
        <w:t xml:space="preserve">δε, </w:t>
      </w:r>
      <w:r w:rsidRPr="003251F4">
        <w:rPr>
          <w:rFonts w:ascii="Times New Roman" w:hAnsi="Times New Roman" w:cs="Times New Roman"/>
          <w:sz w:val="24"/>
          <w:szCs w:val="24"/>
        </w:rPr>
        <w:t>επαρχίας προϊσταται ο Έπαρχος, ο οποίος υπάγεται στον Νομάρχη και</w:t>
      </w:r>
      <w:r>
        <w:rPr>
          <w:rFonts w:ascii="Times New Roman" w:hAnsi="Times New Roman" w:cs="Times New Roman"/>
          <w:sz w:val="24"/>
          <w:szCs w:val="24"/>
        </w:rPr>
        <w:t xml:space="preserve"> είναι επικεφαλής αιρετού επαρχιακού συμβουλίου. Ο νομάρχης και ο έπαρχος παρέμεινε ως περιφερειακό κρατικό  όργανο μέχρι το 1994, πλην της περιόδου 1913-1955, κατά τη διάρκεια της οποίας ο νομοθέτης πάλλεται μεταξύ Γενικών Διοικητών, Διοικητών και Νομαρχών, οι αρμοδιότητές του δε καθορίστηκαν με το ν. 3200/1955.</w:t>
      </w:r>
      <w:r w:rsidRPr="00F26733">
        <w:rPr>
          <w:rFonts w:ascii="Times New Roman" w:hAnsi="Times New Roman" w:cs="Times New Roman"/>
          <w:sz w:val="24"/>
          <w:szCs w:val="24"/>
        </w:rPr>
        <w:t xml:space="preserve"> </w:t>
      </w:r>
      <w:r w:rsidRPr="003251F4">
        <w:rPr>
          <w:rFonts w:ascii="Times New Roman" w:hAnsi="Times New Roman" w:cs="Times New Roman"/>
          <w:sz w:val="24"/>
          <w:szCs w:val="24"/>
        </w:rPr>
        <w:t>Ειδικότερα, ο νόμος «περί διοικητικής αποκεντρώσεως»,  ορίζει ότι ο νομάρχης είναι άμεσος εκπρόσωπος της Κυβέρνησης στο νομό και υπεύθυνος για την άσκηση της κυβερνητικής πολιτικής στην περιφέρειά του, διορίζεται δε και παύεται με βασιλικό διάταγμα, το οποίο εκδίδεται με πρόταση του Υπουργού Εσωτερικών και απόφαση του Υπουργικού Συμβουλίου</w:t>
      </w:r>
      <w:r w:rsidRPr="003251F4">
        <w:rPr>
          <w:rStyle w:val="FootnoteReference"/>
          <w:rFonts w:ascii="Times New Roman" w:hAnsi="Times New Roman" w:cs="Arial"/>
        </w:rPr>
        <w:footnoteReference w:id="13"/>
      </w:r>
      <w:r w:rsidRPr="003251F4">
        <w:rPr>
          <w:rFonts w:ascii="Times New Roman" w:hAnsi="Times New Roman" w:cs="Times New Roman"/>
          <w:sz w:val="24"/>
          <w:szCs w:val="24"/>
        </w:rPr>
        <w:t>. Με το νόμο συγκροτούνται σε κάθε νομαρχία Γνωμοδοτικά Συμβούλια ή επιτροπές με βασιλικό διάταγμα που εκδίδεται μετά από πρόταση των Υπουργών Συντονισμού και Εσωτερικών με αντικείμενο την γνωμοδότηση επί θεμάτων για τα οποία είναι αυτή αναγκαία, προκειμένου να ασκηθούν αρμοδιότητες που μεταβιβάζονται στο νομάρχη και προβλέπεται η λειτουργία τους. Συγκροτούνται, επίσης, Υπηρεσία Δημοσίου Λογιστικού</w:t>
      </w:r>
      <w:r w:rsidRPr="003251F4">
        <w:rPr>
          <w:rStyle w:val="FootnoteReference"/>
          <w:rFonts w:ascii="Times New Roman" w:hAnsi="Times New Roman" w:cs="Arial"/>
        </w:rPr>
        <w:footnoteReference w:id="14"/>
      </w:r>
      <w:r w:rsidRPr="003251F4">
        <w:rPr>
          <w:rFonts w:ascii="Times New Roman" w:hAnsi="Times New Roman" w:cs="Times New Roman"/>
          <w:sz w:val="24"/>
          <w:szCs w:val="24"/>
        </w:rPr>
        <w:t xml:space="preserve"> και Επίτροπος του Ελεγκτικού Συνεδρίου</w:t>
      </w:r>
      <w:r w:rsidRPr="003251F4">
        <w:rPr>
          <w:rStyle w:val="FootnoteReference"/>
          <w:rFonts w:ascii="Times New Roman" w:hAnsi="Times New Roman" w:cs="Arial"/>
        </w:rPr>
        <w:footnoteReference w:id="15"/>
      </w:r>
      <w:r w:rsidRPr="003251F4">
        <w:rPr>
          <w:rFonts w:ascii="Times New Roman" w:hAnsi="Times New Roman" w:cs="Times New Roman"/>
          <w:sz w:val="24"/>
          <w:szCs w:val="24"/>
        </w:rPr>
        <w:t>, όργανο, το οποίο υφίσταται μέχρι σήμερα στο αποκεντρωμένο κρατικό όργανο, καθώς και Συμβούλιο Αποκεντρώσεως</w:t>
      </w:r>
      <w:r w:rsidRPr="003251F4">
        <w:rPr>
          <w:rStyle w:val="FootnoteReference"/>
          <w:rFonts w:ascii="Times New Roman" w:hAnsi="Times New Roman" w:cs="Arial"/>
        </w:rPr>
        <w:footnoteReference w:id="16"/>
      </w:r>
      <w:r w:rsidRPr="003251F4">
        <w:rPr>
          <w:rFonts w:ascii="Times New Roman" w:hAnsi="Times New Roman" w:cs="Times New Roman"/>
          <w:sz w:val="24"/>
          <w:szCs w:val="24"/>
        </w:rPr>
        <w:t>, για τη μελέτη  κάθε ζητήματος που αφορά τη διοικητική αποκέντρωση και τη γνωμοδότηση κάθε θέματος, το οποίο παραπέμπει προς αυτό  ο πρόεδρος της Κυβέρνησης ή επί θεμάτων του Υπουργείου Εσωτερικών.</w:t>
      </w:r>
      <w:r>
        <w:rPr>
          <w:rFonts w:ascii="Times New Roman" w:hAnsi="Times New Roman" w:cs="Times New Roman"/>
          <w:sz w:val="24"/>
          <w:szCs w:val="24"/>
        </w:rPr>
        <w:t xml:space="preserve"> </w:t>
      </w:r>
    </w:p>
    <w:p w:rsidR="00FF2120" w:rsidRDefault="00FF2120" w:rsidP="00F26733">
      <w:pPr>
        <w:overflowPunct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Ως κρατικό περιφερειακό όργανο καταργήθηκε κατά την περίοδο της δικτατορίας(1967-1974), όταν κατά τη διάρκεια του απολυταρχικού καθεστώτος μ</w:t>
      </w:r>
      <w:r w:rsidRPr="003251F4">
        <w:rPr>
          <w:rFonts w:ascii="Times New Roman" w:hAnsi="Times New Roman" w:cs="Times New Roman"/>
          <w:sz w:val="24"/>
          <w:szCs w:val="24"/>
        </w:rPr>
        <w:t>ε το   Ν</w:t>
      </w:r>
      <w:r>
        <w:rPr>
          <w:rFonts w:ascii="Times New Roman" w:hAnsi="Times New Roman" w:cs="Times New Roman"/>
          <w:sz w:val="24"/>
          <w:szCs w:val="24"/>
        </w:rPr>
        <w:t>.Δ. 175/24.9.1973</w:t>
      </w:r>
      <w:r w:rsidRPr="003251F4">
        <w:rPr>
          <w:rFonts w:ascii="Times New Roman" w:hAnsi="Times New Roman" w:cs="Times New Roman"/>
          <w:sz w:val="24"/>
          <w:szCs w:val="24"/>
        </w:rPr>
        <w:t xml:space="preserve"> και ειδικότερα τη διάταξη του άρθρου 16 αυτού, εισάγεται ο θεσμός των Περιφερειακών Διοικήσεων των οποίων προΐστανται Υφυπουργοί Περιφερειακοί Διευθυντές, οι οποίοι υπάγονται στο Υπουργείο Εσωτερικών. Συνεστήθησαν επτά Περιφερειακές Διοικήσεις και συγκεκριμένα: 1.Αττικής και Νήσων, 2..Πελοποννήσου και Δυτ. Στερεάς Ελλάδος, 3. Θεσσαλίας, 4. Κρήτης, 5. Ηπείρου, 6. Κεντρικής και Δυτικής Μακεδονίας, 7. Ανατολικής Μακεδονίας και Θράκης. Στις περιφερειακές δι</w:t>
      </w:r>
      <w:r>
        <w:rPr>
          <w:rFonts w:ascii="Times New Roman" w:hAnsi="Times New Roman" w:cs="Times New Roman"/>
          <w:sz w:val="24"/>
          <w:szCs w:val="24"/>
        </w:rPr>
        <w:t>οικήσεις Κεντρικής και Δυτικής Μ</w:t>
      </w:r>
      <w:r w:rsidRPr="003251F4">
        <w:rPr>
          <w:rFonts w:ascii="Times New Roman" w:hAnsi="Times New Roman" w:cs="Times New Roman"/>
          <w:sz w:val="24"/>
          <w:szCs w:val="24"/>
        </w:rPr>
        <w:t>ακεδονίας και Ανατολικής Μακεδονίας και Θράκης μεταβιβάστηκαν και οι αρμοδιότητες του Υπουργείου Βορείου Ελλάδος, το οποίο  καταργήθηκε</w:t>
      </w:r>
      <w:r>
        <w:rPr>
          <w:rFonts w:ascii="Times New Roman" w:hAnsi="Times New Roman" w:cs="Times New Roman"/>
          <w:sz w:val="24"/>
          <w:szCs w:val="24"/>
        </w:rPr>
        <w:t>.</w:t>
      </w:r>
    </w:p>
    <w:p w:rsidR="00FF2120" w:rsidRDefault="00FF2120" w:rsidP="00F26733">
      <w:pPr>
        <w:overflowPunct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Μετά τη δικτατορία επανήλθε ο Νομάρχης ως αποκεντρωμένο όργανο. Όταν με ιδρύθηκε η νομαρχιακή αυτοδιοίκηση και ο νομάρχης ήταν αιρετό όργανο και μετά τη διαπίστωση της έλλειψης αποκεντρωμένου κρατικού οργάνου, ορίστηκε με το νόμο 2240/1994 ως περιφερειακό όργανο ο Περιφερειακός Διευθυντής.</w:t>
      </w:r>
    </w:p>
    <w:p w:rsidR="00FF2120" w:rsidRPr="003251F4" w:rsidRDefault="00FF2120" w:rsidP="007510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Το 1995 ψηφίζεται ο ν. 2503/1995, με τον οποίο οι 13 Περιφέρειες, στις οποίες είχε διαιρεθεί η επικράτεια με το νόμο 1622/1986 και το π.δ 51/1987, αποκτούν νομική προσωπικότητα, επικεφαλής δε ορίζεται ο Γενικός Γραμματέας της περιφέρειας, ως κρατικό περιφερειακό όργανο. </w:t>
      </w:r>
      <w:r w:rsidRPr="003251F4">
        <w:rPr>
          <w:rFonts w:ascii="Times New Roman" w:hAnsi="Times New Roman" w:cs="Times New Roman"/>
          <w:sz w:val="24"/>
          <w:szCs w:val="24"/>
        </w:rPr>
        <w:t>Ο Γενικός Γραμματέας της Περιφέρειας είναι εκπρόσωπος της Κυβέρνησης και υπεύθυνος για την άσκηση της κυβερνητικής πολιτικής για τα θέματα που αφορούν την Περιφέρεια, επί των αποφάσεών του δε, ασκείται προσφυγή ενώπιον του Υπουργού των Εσωτερικών, κατά τις διατάξεις του ν. 3200/1955.</w:t>
      </w:r>
    </w:p>
    <w:p w:rsidR="00FF2120" w:rsidRPr="003251F4" w:rsidRDefault="00FF2120" w:rsidP="007510CC">
      <w:pPr>
        <w:spacing w:line="360" w:lineRule="auto"/>
        <w:jc w:val="both"/>
        <w:rPr>
          <w:rFonts w:ascii="Times New Roman" w:hAnsi="Times New Roman" w:cs="Times New Roman"/>
          <w:sz w:val="24"/>
          <w:szCs w:val="24"/>
        </w:rPr>
      </w:pPr>
      <w:r w:rsidRPr="003251F4">
        <w:rPr>
          <w:rFonts w:ascii="Times New Roman" w:hAnsi="Times New Roman" w:cs="Times New Roman"/>
          <w:sz w:val="24"/>
          <w:szCs w:val="24"/>
        </w:rPr>
        <w:t>Σε κάθε Περιφέρεια λειτουργεί Περιφερειακό Συμβούλιο</w:t>
      </w:r>
      <w:r w:rsidRPr="003251F4">
        <w:rPr>
          <w:rStyle w:val="FootnoteReference"/>
          <w:rFonts w:ascii="Times New Roman" w:hAnsi="Times New Roman" w:cs="Arial"/>
        </w:rPr>
        <w:footnoteReference w:id="17"/>
      </w:r>
      <w:r w:rsidRPr="003251F4">
        <w:rPr>
          <w:rFonts w:ascii="Times New Roman" w:hAnsi="Times New Roman" w:cs="Times New Roman"/>
          <w:sz w:val="24"/>
          <w:szCs w:val="24"/>
        </w:rPr>
        <w:t xml:space="preserve">, για τη στήριξη δε της περιφερειακής Διοίκησης της χώρας και την εναρμόνιση των περιφερειακών πολιτικών ιδρύθηκε με το νόμο Συμβούλιο Περιφερειών στο Υπουργείο Εσωτερικών, Δημόσιας Διοίκησης και Αποκέντρωσης, αποτελούμενο από τον Υπουργό Εσωτερικών, Δημόσιας Διοίκησης και Αποκέντρωσης ως Πρόεδρο, αναπληρούμενο από τον οριζόμενο από αυτόν Υφυπουργό του ίδιου Υπουργείου και τους Γενικούς Γραμματείς Περιφέρειας. Στο Συμβούλιο συμμετέχει και ο αρμόδιος Γενικός Διευθυντής του Υπουργείου Εσωτερικών, Δημόσιας Διοίκησης και Αποκέντρωσης. </w:t>
      </w:r>
    </w:p>
    <w:p w:rsidR="00FF2120" w:rsidRPr="003251F4" w:rsidRDefault="00FF2120" w:rsidP="007510CC">
      <w:pPr>
        <w:spacing w:line="360" w:lineRule="auto"/>
        <w:jc w:val="both"/>
        <w:rPr>
          <w:rFonts w:ascii="Times New Roman" w:hAnsi="Times New Roman" w:cs="Times New Roman"/>
          <w:sz w:val="24"/>
          <w:szCs w:val="24"/>
        </w:rPr>
      </w:pPr>
      <w:r w:rsidRPr="003251F4">
        <w:rPr>
          <w:rFonts w:ascii="Times New Roman" w:hAnsi="Times New Roman" w:cs="Times New Roman"/>
          <w:sz w:val="24"/>
          <w:szCs w:val="24"/>
        </w:rPr>
        <w:t>Με τον ίδιο νόμο ιδρύεται σε κάθε περιφέρεια περιφερειακό ταμείο ανάπτυξης, με σκοπό, κυρίως,  την διαχείριση, σύμφωνα με τις αποφάσεις του περιφερειακού συμβουλίου πιστώσεων του προγράμματος δημόσιων επενδύσεων, χρηματοδοτήσεων φορέων του δημόσιου τομέα και άλλων νομικών προσώπων, χρηματοδοτήσεων προερχόμενων από προγράμματα της Ευρωπαϊκής `Ενωσης και άλλων διεθνών οογανισμών και λοιπών φορέων του εξωτερικού, οι οποίες αφορούν τα περιφερειακά, τα νομαρχιακά, τα τοπικά και τα ειδικά αναπτυξιακά προγράμματα της περιοχής της περιφέρειας και την  τεχνική υποστήριξη της Περιφέρειας, ιδίως στον τομέα της εκπόνησης μελετών και ερευνών και εφαρμογής προγραμμάτων που αναθέτει στο ταμείο η Περιφέρεια για την αποδοτικότερη αξιοποίηση των πόρων.</w:t>
      </w:r>
    </w:p>
    <w:p w:rsidR="00FF2120" w:rsidRPr="003251F4" w:rsidRDefault="00FF2120" w:rsidP="007510CC">
      <w:pPr>
        <w:spacing w:line="360" w:lineRule="auto"/>
        <w:jc w:val="both"/>
        <w:rPr>
          <w:rFonts w:ascii="Times New Roman" w:hAnsi="Times New Roman" w:cs="Times New Roman"/>
          <w:sz w:val="24"/>
          <w:szCs w:val="24"/>
        </w:rPr>
      </w:pPr>
    </w:p>
    <w:p w:rsidR="00FF2120" w:rsidRPr="003251F4" w:rsidRDefault="00FF2120" w:rsidP="007510CC">
      <w:pPr>
        <w:pStyle w:val="110"/>
        <w:spacing w:line="360" w:lineRule="auto"/>
        <w:ind w:left="360"/>
        <w:jc w:val="both"/>
        <w:rPr>
          <w:rFonts w:ascii="Times New Roman" w:hAnsi="Times New Roman" w:cs="Times New Roman"/>
          <w:color w:val="0000FF"/>
          <w:sz w:val="24"/>
          <w:szCs w:val="24"/>
        </w:rPr>
      </w:pPr>
    </w:p>
    <w:p w:rsidR="00FF2120" w:rsidRPr="003251F4" w:rsidRDefault="00FF2120" w:rsidP="00F26733">
      <w:pPr>
        <w:overflowPunct w:val="0"/>
        <w:spacing w:line="360" w:lineRule="auto"/>
        <w:jc w:val="both"/>
        <w:textAlignment w:val="baseline"/>
        <w:rPr>
          <w:rFonts w:ascii="Times New Roman" w:hAnsi="Times New Roman" w:cs="Times New Roman"/>
          <w:sz w:val="24"/>
          <w:szCs w:val="24"/>
        </w:rPr>
      </w:pPr>
    </w:p>
    <w:p w:rsidR="00FF2120" w:rsidRPr="003251F4" w:rsidRDefault="00FF2120" w:rsidP="00F26733">
      <w:pPr>
        <w:spacing w:line="360" w:lineRule="auto"/>
        <w:jc w:val="both"/>
        <w:rPr>
          <w:rFonts w:ascii="Times New Roman" w:hAnsi="Times New Roman" w:cs="Times New Roman"/>
          <w:sz w:val="24"/>
          <w:szCs w:val="24"/>
        </w:rPr>
      </w:pPr>
    </w:p>
    <w:p w:rsidR="00FF2120" w:rsidRPr="003251F4" w:rsidRDefault="00FF2120" w:rsidP="00F26733">
      <w:pPr>
        <w:spacing w:line="360" w:lineRule="auto"/>
        <w:jc w:val="both"/>
        <w:rPr>
          <w:rFonts w:ascii="Times New Roman" w:hAnsi="Times New Roman" w:cs="Times New Roman"/>
          <w:sz w:val="24"/>
          <w:szCs w:val="24"/>
        </w:rPr>
      </w:pPr>
    </w:p>
    <w:p w:rsidR="00FF2120" w:rsidRDefault="00FF2120" w:rsidP="00F55059">
      <w:pPr>
        <w:spacing w:after="120" w:line="360" w:lineRule="auto"/>
        <w:jc w:val="both"/>
        <w:rPr>
          <w:rFonts w:ascii="Times New Roman" w:hAnsi="Times New Roman" w:cs="Times New Roman"/>
          <w:b/>
          <w:sz w:val="24"/>
          <w:szCs w:val="24"/>
        </w:rPr>
      </w:pPr>
    </w:p>
    <w:p w:rsidR="00FF2120" w:rsidRPr="00F55059" w:rsidRDefault="00FF2120" w:rsidP="00F55059">
      <w:pPr>
        <w:spacing w:after="120" w:line="360" w:lineRule="auto"/>
        <w:jc w:val="both"/>
        <w:rPr>
          <w:rFonts w:ascii="Times New Roman" w:hAnsi="Times New Roman" w:cs="Times New Roman"/>
          <w:b/>
          <w:sz w:val="24"/>
          <w:szCs w:val="24"/>
          <w:u w:val="single"/>
        </w:rPr>
      </w:pPr>
      <w:r w:rsidRPr="00F55059">
        <w:rPr>
          <w:rFonts w:ascii="Times New Roman" w:hAnsi="Times New Roman" w:cs="Times New Roman"/>
          <w:b/>
          <w:sz w:val="24"/>
          <w:szCs w:val="24"/>
        </w:rPr>
        <w:t>Η μεταρρύθμιση του 1997</w:t>
      </w:r>
      <w:r w:rsidRPr="00F55059">
        <w:rPr>
          <w:rFonts w:ascii="Times New Roman" w:hAnsi="Times New Roman" w:cs="Times New Roman"/>
          <w:b/>
          <w:sz w:val="24"/>
          <w:szCs w:val="24"/>
        </w:rPr>
        <w:tab/>
      </w:r>
    </w:p>
    <w:p w:rsidR="00FF2120" w:rsidRPr="00665A71" w:rsidRDefault="00FF2120" w:rsidP="00665A71">
      <w:pPr>
        <w:pStyle w:val="NormalWeb"/>
        <w:spacing w:line="360" w:lineRule="auto"/>
        <w:jc w:val="both"/>
      </w:pPr>
      <w:r w:rsidRPr="00665A71">
        <w:t>Στη δεκαετία του 1990 λαμβανομένων υπόψη των συνθηκών που επικράτησαν μετά την ένταξη της Ελλάδας στην Ευρωπαϊκή Ένωση και της ανάγκης προσαρμογής της εθνικής νομοθεσίας στο περιβάλλον του πρωτογενούς και παραγώγου δικαίου του Οργανισμού αυτού, διαπιστώνεται η ανάγκη δημιουργίας ευρύτερων δομών σε τοπικό επίπεδο. Με τον Ν.2539/1997 «Πρόγραμμα Ιωάννης Καποδίστριας» ψηφίζεται η αναγκαστική συνένωση δήμων και κοινοτήτων. Οι Δήμοι αυξήθηκαν  σε 901 (από 369) και οι κοινότητες  μειώθηκαν δραστικά σε 133</w:t>
      </w:r>
      <w:r w:rsidRPr="00665A71">
        <w:rPr>
          <w:color w:val="0000FF"/>
        </w:rPr>
        <w:t xml:space="preserve"> </w:t>
      </w:r>
      <w:r w:rsidRPr="00665A71">
        <w:t>από  (από 5.554</w:t>
      </w:r>
      <w:r w:rsidRPr="00F55059">
        <w:t xml:space="preserve">). Οι καταργούμενοι ΟΤΑ </w:t>
      </w:r>
      <w:r w:rsidRPr="00665A71">
        <w:t>αποτελούν υποδιαίρεση της ενιαίας εδαφικής περιφέρειας του νέου δήμου ή κοινότητας και προσδιορίζεται με τον όρο "δημοτικό ή κοινοτικό Διαμέρισμα". Σε κάθε δημοτικό διαμέρισμα συνιστάται Τοπικό Συμβούλιο, το οποίο λειτουργεί στα πλαίσια του νέου δήμου ως όργανο δημοτικής αποκέντρωσης. Περαιτέρω, με τον ίδιο νόμο, καταργούνται τα Συμβούλια περιοχής που μετατρέπονται σε απλούς συνδέσμους, οι δήμοι και οι κοινότητες δε, που μετείχαν στα συμβούλια καθίστανται καθολικοί διάδοχοι των δικαιωμάτων και υποχρεώσεών τους. Οι επαρχίες , επίσης, ως μονάδες της διοικητικής διαίρεσης της χώρας, καταργήθηκαν από 1ης Ιανουαρίου 1999.</w:t>
      </w:r>
    </w:p>
    <w:p w:rsidR="00FF2120" w:rsidRPr="00665A71" w:rsidRDefault="00FF2120" w:rsidP="00665A71">
      <w:pPr>
        <w:pStyle w:val="NormalWeb"/>
        <w:spacing w:line="360" w:lineRule="auto"/>
        <w:jc w:val="both"/>
      </w:pPr>
    </w:p>
    <w:p w:rsidR="00FF2120" w:rsidRPr="00665A71" w:rsidRDefault="00FF2120" w:rsidP="00665A71">
      <w:pPr>
        <w:pStyle w:val="NormalWeb"/>
        <w:spacing w:line="360" w:lineRule="auto"/>
        <w:jc w:val="both"/>
        <w:rPr>
          <w:b/>
          <w:i/>
        </w:rPr>
      </w:pPr>
      <w:r w:rsidRPr="00665A71">
        <w:rPr>
          <w:b/>
          <w:i/>
        </w:rPr>
        <w:t xml:space="preserve"> Ν. 3463/2006 Κώδικας Δήμων και Κοινοτήτων</w:t>
      </w:r>
    </w:p>
    <w:p w:rsidR="00FF2120" w:rsidRPr="00665A71" w:rsidRDefault="00FF2120" w:rsidP="00665A71">
      <w:pPr>
        <w:pStyle w:val="NormalWeb"/>
        <w:spacing w:line="360" w:lineRule="auto"/>
        <w:jc w:val="both"/>
        <w:rPr>
          <w:color w:val="FF0000"/>
        </w:rPr>
      </w:pPr>
      <w:r w:rsidRPr="00665A71">
        <w:t>Οι μεταβολές στη πρωτοβάθμια τοπική αυτοδιοίκηση, αλλά κυρίως, η ανάγκη προσαρμογής της εθνικής νομοθεσίας στο δίκαιο της Ευρωπαϊκής Ένωσης, συνετέλεσε και στην μεταβολή των κανόνων διοίκησης και διαχείρισης των έργων της τοπικής αυτοδιοίκησης, καθώς και στη θέσπιση νέων μορφών συνεργασίας  με τον ιδιωτικό τομέα σε σχέση με την εκτέλεση έργων και την παροχή των υπηρεσιών</w:t>
      </w:r>
      <w:r w:rsidRPr="00665A71">
        <w:rPr>
          <w:rStyle w:val="FootnoteReference"/>
        </w:rPr>
        <w:footnoteReference w:id="18"/>
      </w:r>
      <w:r w:rsidRPr="00665A71">
        <w:t>. Η  μεταρρύθμιση του 1997, ως προς την αναγκαστική συνένωση των δήμων και των κοινοτήτων, μετέβαλε και το καθεστώς λειτουργίας των οργάνων διοίκησης της πρωτοβάθμιας τοπικής αυτοδιοίκησης, ζητήματα, τα οποία απασχόλησαν και την ελληνική δικαιοσύνη</w:t>
      </w:r>
      <w:r w:rsidRPr="00665A71">
        <w:rPr>
          <w:rStyle w:val="FootnoteReference"/>
        </w:rPr>
        <w:footnoteReference w:id="19"/>
      </w:r>
      <w:r w:rsidRPr="00665A71">
        <w:t xml:space="preserve"> και τα οποία ο Έλληνας νομοθέτης θα έπρεπε να λάβει υπόψη. Η πραγματοποίηση, παράλληλα, από την τοπική αυτοδιοίκηση προγραμμάτων και πρωτοβουλιών που προκήρυτταν τα θεσμικά όργανα της ευρωπαϊκής ένωσης, προϋπέθετε την συνεργασία της πρωτοβάθμιας τοπικής αυτοδιοίκησης, τόσο με οργανισμούς τοπικής αυτοδιοίκησης των κρατών-μελών της ευρωπαϊκής ένωσης, όσο και με αντίστοιχες δομές των λοιπών κρατών. Η ελληνική νομοθεσία δεν προέβλεπε αντίστοιχες διατάξεις, ώστε να επιτρέπεται η διεθνής αυτή συνεργασία, κυρίως ως προς τη τοπική αυτοδιοίκηση των κρατών μη μελών της ευρωπαϊκής ένωσης, με δεδομένο ότι, για τα κράτη-μέλη της ευρωπαϊκής ένωσης η απαγόρευση λόγω ιθαγένειας, επέτρεπε τη συνεργασία, έστω και αν δεν υφίστατο ρητή νομοθετική ρύθμιση. Η εκχώρηση, επίσης, αρμοδιοτήτων της κεντρικής διοίκησης προς τη τοπική αυτοδιοίκηση, είχε ως συνέπεια την έκδοση σχετικών κανονιστικών διατάξεων για τους όρους και τις προϋποθέσεις εφαρμογής τους</w:t>
      </w:r>
      <w:r w:rsidRPr="00665A71">
        <w:rPr>
          <w:rStyle w:val="FootnoteReference"/>
        </w:rPr>
        <w:footnoteReference w:id="20"/>
      </w:r>
      <w:r w:rsidRPr="00665A71">
        <w:t>. Η επιχειρηματική δραστηριότητα της τοπικής αυτοδιοίκησης, η οποία είχε θεσπιστεί με το νόμο 1416/1984 και βάσει των διατάξεων αυτών είχαν ήδη δημιουργηθεί μέχρι το 2006, 1000 περίπου επιχειρήσεις κάθε κατηγορίας, είχε υποστεί μεταβολές στην πράξη, αφενός λόγω της προσαρμογής της ελληνικής νομοθεσίας στο ευρωπαϊκό δίκαιο, το οποίο αντιμετώπιζε τις επιχειρήσεις, με προϋποθέσεις, ως δομές του ευρύτερου δημόσιου τομέα και επομένως είχαν εφαρμογή οι αντίστοιχες διατάξεις περί της λειτουργίας των δημοσίων οργανισμών</w:t>
      </w:r>
      <w:r w:rsidRPr="00665A71">
        <w:rPr>
          <w:rStyle w:val="FootnoteReference"/>
        </w:rPr>
        <w:footnoteReference w:id="21"/>
      </w:r>
      <w:r w:rsidRPr="00665A71">
        <w:t>σε αντίθεση με την υφιστάμενη ελληνική νομοθεσία, τις οποίες χαρακτήριζε ως νομικά πρόσωπα ιδιωτικού δικαίου που λειτουργούν με τις διατάξεις της ιδιωτικής οικονομίας, αφετέρου λόγω της θέσης του ΔΕΚ, το οποίο με μια σειρά αποφάσεών του, έκρινε ότι επιχειρήσεις που ιδρύονται με τη συμμετοχή της τοπικής αυτοδιοίκησης και λειτουργούν με ευνοϊκές συνθήκες, θίγουν τον ανταγωνισμό. Περαιτέρω, ένας ικανός αριθμός επιχειρήσεων, οι οποίες είχαν συσταθεί με το καθεστώς του ν.1416/1984, ήταν ανενεργείς ως προς τις δραστηριότητες και τον σκοπό για τον οποίον είχαν συσταθεί, ενώ οι περισσότερες από αυτές λειτουργούσαν αποκλειστικά και μόνο για την πραγματοποίηση προγραμμάτων επιδοτούμενων από την ευρωπαϊκή ένωση. Τα ανωτέρω ζητήματα εκτιμήθηκε ότι επέβαλαν ένα νέο νομοθέτημα, το οποίο θα ελάμβανε υπόψη τις νέες συνθήκες. Προς διευθέτηση των ανωτέρω ζητημάτων ψηφίζεται ο νόμος 3463/2006, ο οποίος περιλαμβάνει το σύνολο των ρυθμίσεων για την οργάνωση και λειτουργία της πρωτοβάθμιας τοπικής αυτοδιοίκησης.  Από τις ρυθμίσεις του νόμου σημαντικές είναι εκείνες, οι οποίες προβλέπουν το θεσμικό πλαίσιο συνεργασίας των ΟΤΑ πρώτου βαθμού με αντίστοιχους των κρατών-μελών της Ευρωπαϊκής Ένωσης</w:t>
      </w:r>
      <w:r>
        <w:t>.</w:t>
      </w:r>
    </w:p>
    <w:p w:rsidR="00FF2120" w:rsidRDefault="00FF2120" w:rsidP="00665A71">
      <w:pPr>
        <w:pStyle w:val="NormalWeb"/>
        <w:spacing w:line="360" w:lineRule="auto"/>
        <w:jc w:val="both"/>
        <w:rPr>
          <w:color w:val="FF0000"/>
        </w:rPr>
      </w:pPr>
    </w:p>
    <w:p w:rsidR="00FF2120" w:rsidRPr="00F55059" w:rsidRDefault="00FF2120" w:rsidP="00665A71">
      <w:pPr>
        <w:pStyle w:val="NormalWeb"/>
        <w:spacing w:line="360" w:lineRule="auto"/>
        <w:jc w:val="both"/>
        <w:rPr>
          <w:b/>
        </w:rPr>
      </w:pPr>
      <w:r w:rsidRPr="00F55059">
        <w:rPr>
          <w:b/>
        </w:rPr>
        <w:t>Η μεταρρύθμιση του 2010</w:t>
      </w:r>
    </w:p>
    <w:p w:rsidR="00FF2120" w:rsidRPr="00F55059" w:rsidRDefault="00FF2120" w:rsidP="00665A71">
      <w:pPr>
        <w:pStyle w:val="NormalWeb"/>
        <w:spacing w:line="360" w:lineRule="auto"/>
        <w:jc w:val="both"/>
      </w:pPr>
      <w:r w:rsidRPr="00F55059">
        <w:t xml:space="preserve">Η μεταρρύθμιση του 1997, αλλά και αυτή του 1994 για την δευτεροβάθμια τοπική αυτοδιοίκηση, εκτιμήθηκε ότι δεν έλυσε τα προβλήματα διοίκησης και λειτουργίας της τοπικής αυτοδιοίκησης. Η χωρίς κάποια εμπεριστατωμένη μελέτη  αναγκαστική συνένωση, τόσο για την πρωτοβάθμια, όσο και τη δευτεροβάθμια τοπική αυτοδιοίκηση, η διεκπαιρεωτικού  χαρακτήρα αρμοδιότητες, κυρίως της δευτεροβάθμιας αυτοδιοίκησης, αλλά και η θέση του Συμβουλίου της Επικρατείας για την παραχώρηση αρμοδιοτήτων της κεντρικής διοίκησης προς τη τοπική αυτοδιοίκηση, έθεταν εκ νέου το ζήτημα της αναδιάρθρωσης της τοπικής αυτοδιοίκησης και τη σχέση της με τη κεντρική διοίκηση. Συγχρόνως η Ελλάδα από το 2008 αρχίζει να διέρχεται σε οικονομική ύφεση, η οποία συνετέλεσε ώστε το 2010, να υποχρεωθεί να υπογράψει συμφωνία(Σύμφωνο Κατανόησης) με την Ευρωπαϊκή Επιτροπή, την Ευρωπαϊκή Τράπεζα και το Διεθνές Νομισματικό Ταμείο για δανειοδότηση με μια σειρά μέτρων, τα οποία αποτέλεσαν μέρος της συμφωνίας. Από τα πρώτα μέτρα που περιελήφθησαν στη συμφωνία ήταν ο περιορισμός των δημοσιονομικών ελλειμμάτων. </w:t>
      </w:r>
    </w:p>
    <w:p w:rsidR="00FF2120" w:rsidRPr="00F55059" w:rsidRDefault="00FF2120" w:rsidP="00665A71">
      <w:pPr>
        <w:pStyle w:val="NormalWeb"/>
        <w:spacing w:line="360" w:lineRule="auto"/>
        <w:jc w:val="both"/>
      </w:pPr>
      <w:r w:rsidRPr="00F55059">
        <w:t xml:space="preserve">Ο πρώτος νόμος μετά την υπογραφή του συμφώνου κατανόησης στην ελληνική έννομη τάξη ήταν ο νόμος 3852/2010 για τη «Νέα Αρχιτεκτονική της Αυτοδιοίκησης και της Αποκεντρωμένης Διοίκησης-Πρόγραμμα Καλλικράτης». Αν και επισήμως δεν συνδέθηκε η νέα αυτή μεταρρύθμιση με το καθεστώς του συμφώνου κατανόησης, θεωρήθηκε ότι αποτέλεσε την ευκαιρία για περαιτέρω περιορισμό των δομών της τοπικής αυτοδιοίκησης, με την εφαρμογή οικονομιών κλίμακας, όπως στην εισηγητική έκθεση του νόμου αναφέρεται, για την δημοσιονομική κατάσταση του κράτους. </w:t>
      </w:r>
    </w:p>
    <w:p w:rsidR="00FF2120" w:rsidRPr="00F55059" w:rsidRDefault="00FF2120" w:rsidP="00665A71">
      <w:pPr>
        <w:pStyle w:val="NormalWeb"/>
        <w:spacing w:line="360" w:lineRule="auto"/>
        <w:jc w:val="both"/>
      </w:pPr>
      <w:r w:rsidRPr="00F55059">
        <w:t>Με τη νέα μεταρρύθμιση προβλέπεται:</w:t>
      </w:r>
    </w:p>
    <w:p w:rsidR="00FF2120" w:rsidRPr="00F55059" w:rsidRDefault="00FF2120" w:rsidP="00665A71">
      <w:pPr>
        <w:pStyle w:val="NormalWeb"/>
        <w:spacing w:line="360" w:lineRule="auto"/>
        <w:jc w:val="both"/>
      </w:pPr>
      <w:r w:rsidRPr="00F55059">
        <w:t xml:space="preserve">1.Η αναγκαστική συνένωση της πρωτοβάθμιας τοπικής αυτοδιοίκησης με τη δημιουργία δήμων και την κατάργηση των κοινοτήτων. Δημιουργήθηκαν 325 Δήμοι. Οι καταργηθέντες δήμοι και κοινότητες αποτέλεσαν δημοτικές και τοπικές κοινότητες με πληθυσμιακά κριτήρια και ειδικότερα: Δήμοι και κοινότητες μέχρι 2.000 κατοίκους αποτέλεσαν τις τοπικές κοινότητες, στις οποίες εκλέγονταν τοπικό συμβούλιο και πρόεδρος τοπικού συμβουλίου, ενώ οι άνω των 2.000 κατοίκων αποτέλεσαν δημοτικές κοινότητες και εξέλεγαν πρόεδρο δημοτικής κοινότητας και συμβούλιο δημοτικής κοινότητας. </w:t>
      </w:r>
    </w:p>
    <w:p w:rsidR="00FF2120" w:rsidRPr="00F55059" w:rsidRDefault="00FF2120" w:rsidP="00665A71">
      <w:pPr>
        <w:pStyle w:val="NormalWeb"/>
        <w:spacing w:line="360" w:lineRule="auto"/>
        <w:jc w:val="both"/>
      </w:pPr>
      <w:r w:rsidRPr="00F55059">
        <w:t>2. Η δημιουργία δευτέρου βαθμού τοπικής αυτοδιοίκησης σε επίπεδο περιφέρειας με τη δημιουργία 13 περιφερειών. Οι πρώην περιφέρειες, ως περιφερειακά όργανα του κράτους αποτελούν τον δεύτερο βαθμό τοπικής αυτοδιοίκησης, διοικούμενες από αιρετούς περιφερειάρχες και περιφερειακό συμβούλιο.</w:t>
      </w:r>
    </w:p>
    <w:p w:rsidR="00FF2120" w:rsidRPr="00F55059" w:rsidRDefault="00FF2120" w:rsidP="00665A71">
      <w:pPr>
        <w:pStyle w:val="NormalWeb"/>
        <w:spacing w:line="360" w:lineRule="auto"/>
        <w:jc w:val="both"/>
      </w:pPr>
      <w:r w:rsidRPr="00F55059">
        <w:t>3. Τη δημιουργία επτά Αποκεντρωμένων Διοικήσεων ως περιφερειακών οργάνων του της κεντρικής διοίκησης.</w:t>
      </w:r>
    </w:p>
    <w:p w:rsidR="00FF2120" w:rsidRPr="00F55059" w:rsidRDefault="00FF2120" w:rsidP="00665A71">
      <w:pPr>
        <w:pStyle w:val="NormalWeb"/>
        <w:spacing w:line="360" w:lineRule="auto"/>
        <w:jc w:val="both"/>
      </w:pPr>
      <w:r w:rsidRPr="00F55059">
        <w:t>4. Τη θεσμοθέτηση αυτοτελούς Υπηρεσίας Ελέγχου για την άσκηση της διοικητικής εποπτείας των αποφάσεων των μονομελών και συλλογικών οργάνων της τοπικής αυτοδιοίκησης</w:t>
      </w:r>
    </w:p>
    <w:p w:rsidR="00FF2120" w:rsidRPr="00F55059" w:rsidRDefault="00FF2120" w:rsidP="00665A71">
      <w:pPr>
        <w:pStyle w:val="NormalWeb"/>
        <w:spacing w:line="360" w:lineRule="auto"/>
        <w:jc w:val="both"/>
      </w:pPr>
      <w:r w:rsidRPr="00F55059">
        <w:t>5. Τη θεσμοθέτηση του Συμπαραστάτη του Δημότη και της επιχείρησης για την πρωτοβάθμια τοπική αυτοδιοίκηση και του Συμπαραστάτη της Περιφέρειας και της επιχείρησης για τον δεύτερο βαθμό τοπικής αυτοδιοίκησης. Ο Συμπαραστάτης αποτελεί ένα νέο θεσμό στην ελληνική έννομη τάξη, με αρμοδιότητα τη διαμεσολάβηση μεταξύ των πολιτών και των επιχειρήσεων με τα αιρετά όργανα της τοπικής αυτοδιοίκησης με απώτερο σκοπό την αποτελεσματικότερη επίλυση τυχόν προβλημάτων. Η ρύθμιση του νόμου για την εκλογή Συμπαραστάτη με την πλειοψηφία των 2/3 του νομίμου αριθμού των μελών του δημοτικού ή περιφερειακού συμβουλίου, αποτέλεσε ανασταλτικό παράγοντα ορισμού, με αποτέλεσμα σε ένα μικρό μόνο αριθμό των ΟΤΑ πρώτου και δεύτερου βαθμού να εφαρμοστεί ο θεσμός.</w:t>
      </w:r>
    </w:p>
    <w:p w:rsidR="00FF2120" w:rsidRPr="00F55059" w:rsidRDefault="00FF2120" w:rsidP="00665A71">
      <w:pPr>
        <w:pStyle w:val="NormalWeb"/>
        <w:spacing w:line="360" w:lineRule="auto"/>
        <w:jc w:val="both"/>
      </w:pPr>
      <w:r w:rsidRPr="00F55059">
        <w:t>6. Θεσμοθετούνται νέα όργανα διοίκησης τόσο για την πρωτοβάθμια, όσο και την δευτεροβάθμια τοπική αυτοδιοίκηση. Ειδικότερα, πλήν του αποφασιστικού οργάνου δημοτικού ή περιφερειακού συμβουλίου, εισάγονται ως συλλογικά όργανα διοίκησης η οικονομική επιτροπή, η εκτελεστική επιτροπή και η επιτροπή ποιότητας ζωής, καταργούμενης της μέχρι το χρόνο αυτό δημαρχιακής επιτροπής για την πρωτοβάθμια τοπική αυτοδιοίκηση.</w:t>
      </w:r>
    </w:p>
    <w:p w:rsidR="00FF2120" w:rsidRPr="00AA34D4" w:rsidRDefault="00FF2120" w:rsidP="00665A71">
      <w:pPr>
        <w:pStyle w:val="NormalWeb"/>
        <w:spacing w:line="360" w:lineRule="auto"/>
        <w:jc w:val="both"/>
      </w:pPr>
      <w:r w:rsidRPr="00AA34D4">
        <w:t>Η μεταρρύθμιση του 2018</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Το 2018(ν.4555/2018) επέρχεται νέα μεταρρύθμιση στη τοπική αυτοδιοίκηση. Η μεταρρύθμιση, κυρίως,  αφορά την ανάδειξη των τοπικών Αρχών και τον τρόπο λειτουργίας των συλλογικών οργάνων διοίκησης, εισάγονται δε, λεπτομερείς ρυθμίσεις για τα τοπικά δημοψηφίσματα, τα οποία το πρώτον είχαν νομοθετηθεί με τις διατάξεις του ν.3463/2006 και θεσμοθετείται ο δημοτικός και περιφερειακός διαμεσολαβητής σε αντικατάσταση του Συμπαραστάτη του δημότη και της επιχείρησης και του Συμπαραστάτη της περιφέρειας και της επιχείρησης που προέβλεπε η μεταρρύθμιση του 2010. Ειδικότερα στη νέα μεταρρύθμιση προβλέπονται:</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1.Θεσμοθετείται ένα σύστημα απλής αναλογικής με απώτερο σκοπό την όσο το δυνατόν μεγαλύτερη εκπροσώπηση των πολιτών στη διοίκηση των τοπικών υποθέσεων, η θητεία δε των τοπικών Αρχών, επανέρχεται στην πρό του 2010 ρύθμιση και ορίζεται τετραετής, επανέρχεται δε και ο χρόνος διενέργειας των εκλογών και πραγματοποιούνται τη δεύτερη Κυριακή του Οκτωβρίου.</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xml:space="preserve"> 2.Ως προς την οριοθέτηση της πρωτοβάθμιας τοπικής αυτοδιοίκησης δεν επιφέρει τροποποιήσεις, ωστόσο, οι οργανισμοί τοπικής αυτοδιοίκησης πρώτου βαθμού, χαρακτηρίζονται βάσει συγκεκριμένων κριτηρίων, τα οποία αναφέρονται τόσο σε γεωμορφολογικά και χωροταξικά χαρακτηριστικά, όσο και των κλάδων οικονομίας, στους οποίους δραστηριοποιούνται οι πολίτες στα όρια αυτών και οι δυνατότητες που παρέχει για το λόγο αυτό κάθε οργανισμός στα όριά του και της δυνατότητάς του να μετατραπεί σε αστικό κέντρο.  Τα κριτήρια, κατά ρητή διάταξη του νόμου, λαμβάνονται υπόψη προκειμένου να κατανεμηθούν οι αρμοδιότητες των δήμων και η χορήγηση κρατικής οικονομικής ενίσχυσης, ή χρηματοδότησης από εθνικούς ή άλλους οικονομικούς πόρους και, η ως εκ τούτου, ρύθμιση περί των διοικητικών Υπηρεσιών που πρέπει να ενταχθούν κατά την εκπόνηση των Εσωτερικών κανονισμών, για την λειτουργία τους και την άσκηση των αρμοδιοτήτων τους.</w:t>
      </w:r>
      <w:r w:rsidRPr="00665A71">
        <w:rPr>
          <w:rStyle w:val="FootnoteReference"/>
          <w:rFonts w:ascii="Times New Roman" w:hAnsi="Times New Roman"/>
          <w:sz w:val="24"/>
          <w:szCs w:val="24"/>
        </w:rPr>
        <w:footnoteReference w:id="22"/>
      </w:r>
      <w:r w:rsidRPr="00665A71">
        <w:rPr>
          <w:rFonts w:ascii="Times New Roman" w:hAnsi="Times New Roman" w:cs="Times New Roman"/>
          <w:sz w:val="24"/>
          <w:szCs w:val="24"/>
        </w:rPr>
        <w:t xml:space="preserve"> Οι δήμοι, σύμφωνα με τα ανωτέρω κριτήρια, κατηγοριοποιούνται σε α) Δήμοι Μητροπολιτικών Κέντρων. β) Μεγάλοι Ηπειρωτικοί Δήμοι και Δήμοι Πρωτεύουσες Νομών γ) Μεσαίοι Ηπειρωτικοί Δήμοι δ) Μικροί Ηπειρωτικοί και Μικροί Ορεινοί Δήμοι ε) Μεγάλοι και Μεσαίοι Νησιωτικοί Δήμοι. στ) Μικροί Νησιωτικοί Δήμοι.</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xml:space="preserve">3.Οι τοπικές και δημοτικές κοινότητες ονομάζονται «κοινότητες» και διακρίνονται σε: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1.κοινότητες κάτω των 300 κατοίκων στις οποίες εκλέγεται πρόεδρος κοινότητας και</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2. κοινότητες άνω των τριακοσίων κατοίκων, τις οποίες εκλέγεται πρόεδρος και συμβούλιο κοινότητας.</w:t>
      </w:r>
    </w:p>
    <w:p w:rsidR="00FF2120" w:rsidRPr="00F55059" w:rsidRDefault="00FF2120" w:rsidP="00665A71">
      <w:pPr>
        <w:spacing w:line="360" w:lineRule="auto"/>
        <w:jc w:val="both"/>
        <w:rPr>
          <w:rFonts w:ascii="Times New Roman" w:hAnsi="Times New Roman" w:cs="Times New Roman"/>
          <w:b/>
          <w:sz w:val="24"/>
          <w:szCs w:val="24"/>
        </w:rPr>
      </w:pPr>
    </w:p>
    <w:p w:rsidR="00FF2120" w:rsidRPr="00F55059" w:rsidRDefault="00FF2120" w:rsidP="00665A71">
      <w:pPr>
        <w:spacing w:line="360" w:lineRule="auto"/>
        <w:jc w:val="both"/>
        <w:rPr>
          <w:rFonts w:ascii="Times New Roman" w:hAnsi="Times New Roman" w:cs="Times New Roman"/>
          <w:b/>
          <w:sz w:val="24"/>
          <w:szCs w:val="24"/>
        </w:rPr>
      </w:pPr>
      <w:r w:rsidRPr="00F55059">
        <w:rPr>
          <w:rFonts w:ascii="Times New Roman" w:hAnsi="Times New Roman" w:cs="Times New Roman"/>
          <w:b/>
          <w:sz w:val="24"/>
          <w:szCs w:val="24"/>
        </w:rPr>
        <w:t>Τοπικά δημοψηφίσματα</w:t>
      </w:r>
    </w:p>
    <w:p w:rsidR="00FF2120" w:rsidRDefault="00FF2120" w:rsidP="00665A71">
      <w:pPr>
        <w:spacing w:line="360" w:lineRule="auto"/>
        <w:jc w:val="both"/>
        <w:rPr>
          <w:rFonts w:ascii="Times New Roman" w:hAnsi="Times New Roman" w:cs="Times New Roman"/>
          <w:sz w:val="24"/>
          <w:szCs w:val="24"/>
        </w:rPr>
      </w:pP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Στη μεταρρύθμιση του 2018 ρυθμίζεται λεπτομερώς η διενέργεια τοπικών δημοψηφισμάτων. Ειδικότερα:</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Δημοτικό ή περιφερειακό δημοψήφισμα μπορεί να προκηρύσσεται για κάθε θέμα, εκτός από ζητήματα σχετικά με την εθνική ασφάλεια, την εξωτερική πολιτική, τη μεταναστευτική πολιτική, την ερμηνεία και εφαρμογή διεθνών συνθηκών, ατομικά και κοινωνικά δικαιώματα, την ελευθερία της θρησκευτικής συνείδησης και λατρείας ή τη θεσμική οργάνωση όλων των γνωστών θρησκειών. Δημοψήφισμα δεν προκηρύσσεται για θέματα δημοσιονομικής διαχείρισης του οικείου Ο.Τ.Α., επιβολής τελών, ανακαθορισμού του αριθμού και των ορίων των δήμων, των κοινοτήτων, των περιφερειών και των περιφερειακών ενοτήτων της χώρας.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Τα τοπικά δημοψηφίσματα διακρίνονται σε αποφασιστικού και γνωμοδοτικού χαρακτήρα. Ο χαρακτηρισμός τους καθορίζεται στην απόφαση προκήρυξης, εκτός εάν το αντικείμενο δημοψηφίσματος δεν ανάγεται σε αποφασιστική αρμοδιότητα του οικείου δήμου ή της οικείας περιφέρειας, οπότε έχει υποχρεωτικά γνωμοδοτικό χαρακτήρα. Δημοψήφισμα διεξάγεται είτε μετά από απόφαση του οικείου δημοτικού ή περιφερειακού συμβουλίου, που λαμβάνεται με την πλειοψηφία των δύο τρίτων (2/3) του συνόλου των μελών του και στην οποία προσδιορίζεται το ερώτημα ή τα ερωτήματα, ή μετά από αίτηση εγγεγραμμένων εκλογέων του οικείου δήμου ή περιφέρειας, ο αριθμός των οποίων δεν μπορεί να είναι μικρότερος του δέκα τοις εκατό (10%) του συνολικού αριθμού των εγγεγραμμένων εκλογέων, μετά από αίτημά τους που υποβάλλεται στον πρόεδρο του δημοτικού ή περιφερειακού συμβουλίου, με το ερώτημα του δημοψηφίσματος, ο οποίος οφείλει να εισάγει το θέμα προς συζήτηση εντός μηνός από τη λήψη του αιτήματος, άλλως υπόκειται σε σοβαρό πειθαρχικό αδίκημα. Στην περίπτωση που το ερώτημα δεν είναι σαφές επαναπροσδιορίζεται με απόφαση του δημοτικού ή περιφερειακού συμβουλίου που λαμβάνεται με την πλειοψηφία των 2/3  των μελών του. Το ερώτημα ή τα ερωτήματα στα οποία θα κληθούν να απαντήσουν οι εκλογείς πρέπει να είναι κατά το δυνατόν πλήρη, σύντομα και σαφή. Η προτίμηση του εκλογικού σώματος εκφράζεται επί δύο εκ των προτέρων καθορισμένων απαντήσεων, είτε με τη χρήση των όρων «ΝΑΙ» ή «ΟΧΙ» και άλλων συναφών, είτε με την επιλογή μεταξύ δύο προτεινόμενων λύσεων ή επιλογών.</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Δεν επιτρέπεται να διεξαχθεί δημοψήφισμα κατά τη διάρκεια της προεκλογικής περιόδου για την ανάδειξη των μελών του εθνικού ή του ευρωπαϊκού κοινοβουλίου, για την ανάδειξη των αυτοδιοικητικών αρχών ή για τη διεξαγωγή δημοψηφίσματος σε εθνικό επίπεδο. Δημοψήφισμα δεν επιτρέπεται, επίσης, να διεξαχθεί κατά το ημερολογιακό έτος της διενέργειας των εκλογών για την ανάδειξη των αυτοδιοικητικών αρχών. Δεν μπορεί να διεξαχθεί δημοψήφισμα πριν περάσει ένα (1) έτος από την διεξαγωγή του προηγούμενου.</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Η απόφαση του δημοτικού ή περιφερειακού συμβουλίου για την προκήρυξη δημοψηφίσματος δημοσιεύεται μέσα σε τρεις (3) ημέρες από τη λήψη της, με ευθύνη του προέδρου του, στο δημοτικό ή περιφερειακό κατάστημα, καθώς και σε μία τουλάχιστον έντυπη, ημερήσια ή εβδομαδιαία τοπική εφημερίδα και στην ιστοσελίδα του δήμου ή της περιφέρειας. Επιπλέον, το δημοτικό ή περιφερειακό συμβούλιο, αντίστοιχα, λαμβάνει μέτρα για την όσο το δυνατόν ευρύτερη δημοσιοποίηση της απόφασης, μέσω των τοπικών μέσων μαζικής ενημέρωσης ή οποιουδήποτε άλλου πρόσφορου μέσου. Η απόφαση για την προκήρυξη δημοτικού ή περιφερειακού δημοψηφίσματος κοινοποιείται στον Υπουργό Εσωτερικών, καθώς και στον καθ' ύλην αρμόδιο Υπουργό.</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Η απόφαση του δημοτικού ή περιφερειακού συμβουλίου για τη διενέργεια του δημοψηφίσματος,  συνοδευόμενη από τα έγγραφα στοιχεία που είναι αναγκαία για τη νόμιμη έκδοσή της, αποστέλλονται υποχρεωτικά για έλεγχο στον Επόπτη Ο.Τ.Α. μέσα σε τρεις (3) ημέρες από την επομένη της συνεδρίασης του αρμόδιου συλλογικού οργάνου, ο οποίος ελέγχει την νομιμότητα της απόφασης και εκδίδει υποχρεωτικά ειδική πράξη με την οποία επικυρώνεται ή ακυρώνεται η σχετική απόφαση, μέσα σε προθεσμία επτά (7) ημερών από την περιέλευσή της σε αυτόν. Οποιοσδήποτε έχει έννομο συμφέρον μπορεί να προσβάλλει την απόφαση του δημοτικού ή περιφερειακού συμβουλίου ενώπιον του Επόπτη Ο.Τ.Α. για λόγους νομιμότητας μέσα σε προθεσμία τριών (3) ημερών από τη δημοσίευση της απόφασης ή την ανάρτησή της στο διαδίκτυο, ο οποίος αποφαίνεται υποχρεωτικά επί της προσφυγής μέσα σε αποκλειστική προθεσμία επτά (7) ημερών από την υποβολή της. Η απόφαση του Επόπτη Ο.Τ.Α προσβάλλεται μόνο στα αρμόδια δικαστήρια.</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Δικαίωμα ψήφου στο δημοτικό ή περιφερειακό δημοψήφισμα έχουν όσοι έχουν δικαίωμα ψήφου στις εκλογές για την ανάδειξη των δημοτικών ή περιφερειακών αρχών, αντίστοιχα.</w:t>
      </w:r>
    </w:p>
    <w:p w:rsidR="00FF2120" w:rsidRPr="00665A71" w:rsidRDefault="00FF2120" w:rsidP="00665A71">
      <w:pPr>
        <w:pStyle w:val="Heading2"/>
        <w:spacing w:line="360" w:lineRule="auto"/>
        <w:jc w:val="both"/>
        <w:rPr>
          <w:rFonts w:ascii="Times New Roman" w:hAnsi="Times New Roman"/>
          <w:sz w:val="24"/>
          <w:szCs w:val="24"/>
        </w:rPr>
      </w:pPr>
      <w:r w:rsidRPr="00665A71">
        <w:rPr>
          <w:rFonts w:ascii="Times New Roman" w:hAnsi="Times New Roman"/>
          <w:sz w:val="24"/>
          <w:szCs w:val="24"/>
        </w:rPr>
        <w:t>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Στο δημόσιο διάλογο, επί του ερωτήματος ή των ερωτημάτων που τίθενται στην ψηφοφορία μπορούν να συμμετέχουν πολιτικά κόμματα, δημοτικές και περιφερειακές παρατάξεις, συνδυασμοί που έλαβαν μέρος στις τελευταίες δημοτικές και περιφερειακές εκλογές ανεξαρτήτως της εκπροσώπησής τους στο δημοτικό συμβούλιο, τοπικές και περιφερειακές ενώσεις προσώπων, τοπικές και περιφερειακές επιστημονικές ενώσεις, επαγγελματικές ή συνδικαλιστικές οργανώσεις και κάθε άλλος φορέας της κοινωνίας των πολιτών. Οι ανωτέρω, φορείς ή εκλογείς, μπορούν να συγκροτούν Επιτροπές Πρωτοβουλίας για την υποστήριξη και προβολή κάποιας από τις εναλλακτικές απαντήσεις στο ερώτημα του δημοψηφίσματος. Η συγκρότηση Επιτροπής Πρωτοβουλίας, καθώς και το φυσικό πρόσωπο που αποτελεί το νόμιμο εκπρόσωπο του φορέα, γνωστοποιούνται στον πρόεδρο του δημοτικού ή περιφερειακού συμβουλίου, αντίστοιχα. Για την οργάνωση και προαγωγή του δημόσιου διαλόγου, το δημοτικό ή περιφερειακό συμβούλιο μπορεί να συγκροτεί ειδική επιτροπή με τη συμμετοχή αιρετών της Τοπικής Αυτοδιοίκησης, υπαλλήλων του οικείου Ο.Τ.Α. και προσωπικοτήτων εγνωσμένου τοπικού κύρους. Η Επιτροπή αυτή μπορεί να διοργανώνει εκδηλώσεις και συζητήσεις, να εκδίδει πληροφοριακό υλικό και να λαμβάνει όλα τα μέτρα που ενθαρρύνουν το δημόσιο διάλογο για το θέμα του δημοψηφίσματος, με τρόπο που να διασφαλίζει την ισότιμη και πλουραλιστική προβολή και έκφραση των διαφορετικών απόψεων.</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p>
    <w:p w:rsidR="00FF2120" w:rsidRPr="00665A71" w:rsidRDefault="00FF2120" w:rsidP="00665A71">
      <w:pPr>
        <w:spacing w:line="360" w:lineRule="auto"/>
        <w:ind w:firstLine="720"/>
        <w:jc w:val="both"/>
        <w:rPr>
          <w:rFonts w:ascii="Times New Roman" w:hAnsi="Times New Roman" w:cs="Times New Roman"/>
          <w:sz w:val="24"/>
          <w:szCs w:val="24"/>
        </w:rPr>
      </w:pPr>
      <w:r w:rsidRPr="00665A71">
        <w:rPr>
          <w:rFonts w:ascii="Times New Roman" w:hAnsi="Times New Roman" w:cs="Times New Roman"/>
          <w:sz w:val="24"/>
          <w:szCs w:val="24"/>
        </w:rPr>
        <w:t>Ως προεκλογική περίοδος, για το δημοτικό ή περιφερειακό δημοψήφισμα, ορίζεται η περίοδος από την επομένη της προκήρυξης έως την ημέρα διεξαγωγής του δημοψηφίσματος.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 xml:space="preserve">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Απαγορεύεται η χρηματοδότηση και κάθε άλλου είδους παροχές ή διευκολύνσεις προς τους συμμετέχοντες στο δημοψήφισμα από:</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α) Φυσικά πρόσωπα που δεν έχουν την ελληνική ιθαγένεια.</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 xml:space="preserve">β) Φυσικά ή νομικά πρόσωπα που είναι ιδιοκτήτες ή εκδότες ημερήσιων ή περιοδικών εντύπων πανελλήνιας ή τοπικής κυκλοφορίας ή ιδιοκτήτες ραδιοφωνικών ή τηλεοπτικών, εν γένει, σταθμών.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xml:space="preserve">γ) Νομικά πρόσωπα δημόσιου ή ιδιωτικού δικαίου, και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δ) οργανισμούς Τοπικής Αυτοδιοίκησης του πρώτου και του δεύτερου βαθμού.</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Η χρηματοδότηση από το ίδιο φυσικό πρόσωπο δεν επιτρέπεται να υπερβαίνει το ποσό των εκατό (100) ευρώ.</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Όποιος από τους συμμετέχοντες στις Επιτροπές Πρωτοβουλίας ή στη διενέργεια του δημοψηφίσματος λαμβάνει χρηματοδότηση κατά παράβαση του νόμου, τιμωρείται με πρόστιμο έως δέκα χιλιάδων (10.000) ευρώ.</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Όποιος χρηματοδοτεί συμμετέχοντες στις Επιτροπές Πρωτοβουλίας ή στη διενέργεια του δημοψηφίσματος κατά παράβαση του νόμου τιμωρείται με φυλάκιση έως δύο (2) έτη και πρόστιμο τουλάχιστον πέντε χιλιάδων (5.000) ευρώ.</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 xml:space="preserve"> Όποιος χρηματοδοτεί συμμετέχοντες στις Επιτροπές Πρωτοβουλίας ή στη διενέργεια δημοψηφίσματος κατά παράβαση του νόμου, τιμωρείται με φυλάκιση έως ένα (1) έτος και πρόστιμο τουλάχιστον χιλίων (1.000) ευρώ.</w:t>
      </w:r>
    </w:p>
    <w:p w:rsidR="00FF2120" w:rsidRPr="00665A71" w:rsidRDefault="00FF2120" w:rsidP="00665A71">
      <w:pPr>
        <w:spacing w:line="360" w:lineRule="auto"/>
        <w:jc w:val="both"/>
        <w:rPr>
          <w:rFonts w:ascii="Times New Roman" w:hAnsi="Times New Roman" w:cs="Times New Roman"/>
          <w:color w:val="FF0000"/>
          <w:sz w:val="24"/>
          <w:szCs w:val="24"/>
        </w:rPr>
      </w:pPr>
      <w:r w:rsidRPr="00665A71">
        <w:rPr>
          <w:rFonts w:ascii="Times New Roman" w:hAnsi="Times New Roman" w:cs="Times New Roman"/>
          <w:color w:val="FF0000"/>
          <w:sz w:val="24"/>
          <w:szCs w:val="24"/>
        </w:rPr>
        <w:t> </w:t>
      </w:r>
      <w:r w:rsidRPr="00665A71">
        <w:rPr>
          <w:rFonts w:ascii="Times New Roman" w:hAnsi="Times New Roman" w:cs="Times New Roman"/>
          <w:color w:val="FF0000"/>
          <w:sz w:val="24"/>
          <w:szCs w:val="24"/>
        </w:rPr>
        <w:tab/>
      </w:r>
      <w:r w:rsidRPr="00665A71">
        <w:rPr>
          <w:rFonts w:ascii="Times New Roman" w:hAnsi="Times New Roman" w:cs="Times New Roman"/>
          <w:sz w:val="24"/>
          <w:szCs w:val="24"/>
        </w:rPr>
        <w:t>Για τη συμμετοχή στη διενέργεια δημοτικού ή περιφερειακού δημοψηφίσματος, επιβάλλεται κοινό όριο δαπανών, το οποίο για κάθε Επιτροπή Πρωτοβουλίας, πολιτικό κόμμα, δημοτική ή περιφερειακή παράταξη ή άλλο φορέα είναι ίσο με το τριάντα τοις εκατό (30%) του ορίου δαπανών που ίσχυσε κατά τις τελευταίες πριν τη διεξαγωγή του δημοψηφίσματος δημοτικές ή περιφερειακές εκλογές, για το συνδυασμό με τους περισσότερους υποψηφίους συμβούλους.</w:t>
      </w:r>
    </w:p>
    <w:p w:rsidR="00FF2120" w:rsidRPr="00665A71" w:rsidRDefault="00FF2120" w:rsidP="00665A71">
      <w:pPr>
        <w:spacing w:line="360" w:lineRule="auto"/>
        <w:ind w:firstLine="720"/>
        <w:jc w:val="both"/>
        <w:rPr>
          <w:rFonts w:ascii="Times New Roman" w:hAnsi="Times New Roman" w:cs="Times New Roman"/>
          <w:sz w:val="24"/>
          <w:szCs w:val="24"/>
        </w:rPr>
      </w:pPr>
      <w:r w:rsidRPr="00665A71">
        <w:rPr>
          <w:rFonts w:ascii="Times New Roman" w:hAnsi="Times New Roman" w:cs="Times New Roman"/>
          <w:sz w:val="24"/>
          <w:szCs w:val="24"/>
        </w:rPr>
        <w:t>Η υπέρβαση του ορίου δαπανών τιμωρείται με πρόστιμο που ανέρχεται στο πενταπλάσιο του ποσού της υπέρβασης.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Όταν παραβάσεις που προβλέπονται ανωτέρω διαπράττονται από τις Επιτροπές Πρωτοβουλίας οι προβλεπόμενες ποινές και πρόστιμα βαρύνουν αυτόν που έχει οριστεί ως νόμιμος εκπρόσωπός τους.</w:t>
      </w:r>
    </w:p>
    <w:p w:rsidR="00FF2120" w:rsidRPr="00665A71" w:rsidRDefault="00FF2120" w:rsidP="00665A71">
      <w:pPr>
        <w:spacing w:line="360" w:lineRule="auto"/>
        <w:jc w:val="both"/>
        <w:rPr>
          <w:rFonts w:ascii="Times New Roman" w:hAnsi="Times New Roman" w:cs="Times New Roman"/>
          <w:i/>
          <w:sz w:val="24"/>
          <w:szCs w:val="24"/>
        </w:rPr>
      </w:pPr>
      <w:r w:rsidRPr="00665A71">
        <w:rPr>
          <w:rFonts w:ascii="Times New Roman" w:hAnsi="Times New Roman" w:cs="Times New Roman"/>
          <w:sz w:val="24"/>
          <w:szCs w:val="24"/>
        </w:rPr>
        <w:t>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Οι Επιτροπές Πρωτοβουλίας, οι ενώσεις προσώπων, οι επιστημονικές, οι επαγγελματικές ή οι συνδικαλιστικές οργανώσεις και κάθε άλλη οργάνωση της κοινωνίας των πολιτών, που συμμετέχουν στη διενέργεια δημοψηφίσματος υποχρεούνται να συντάξουν ειδική έκθεση εσόδων και δαπανών, η οποία αποστέλλεται στον Επόπτη του οικείου Ο.Τ.Α. και στον πρόεδρο του οικείου δημοτικού ή περιφερειακού συμβουλίου, μέσα σε ένα (1) μήνα από τη διεξαγωγή του δημοψηφίσματος και αναρτάται με ευθύνη του τελευταίου στην ιστοσελίδα του δήμου ή της περιφέρειας.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Κατά τη διάρκεια της προεκλογικής περιόδου, οι δημόσιοι και οι ιδιωτικοί ραδιοφωνικοί σταθμοί, οι τηλεοπτικοί σταθμοί ελεύθερης λήψης, καθώς επίσης οι φορείς παροχής συνδρομητικών και τηλεοπτικών υπηρεσιών κάθε μορφής, τοπικής ή εθνικής εμβέλειας, τα ηλεκτρονικά μέσα ενημέρωσης και οι ιστοσελίδες υποχρεούνται να διασφαλίζουν τη σφαιρική, πολύπλευρη και αντικειμενική ενημέρωση σχετικά με το ερώτημα ή τα ερωτήματα του δημοψηφίσματος.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Έγκυρο θεωρείται το αποτέλεσμα του δημοψηφίσματος, εφόσον στην ψηφοφορία συμμετείχε το σαράντα τοις εκατό (40%) των εγγεγραμμένων στους εκλογικούς καταλόγους.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Το αποτέλεσμα του δημοψηφίσματος, δεσμεύει το οικείο συμβούλιο στο πλαίσιο της απόφασης που θα λάβει αυτό, ως προς το θέμα επί του οποίου έχει διεξαχθεί το δημοψήφισμα.</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i/>
          <w:sz w:val="24"/>
          <w:szCs w:val="24"/>
        </w:rPr>
        <w:t> </w:t>
      </w:r>
      <w:r w:rsidRPr="00665A71">
        <w:rPr>
          <w:rFonts w:ascii="Times New Roman" w:hAnsi="Times New Roman" w:cs="Times New Roman"/>
          <w:sz w:val="24"/>
          <w:szCs w:val="24"/>
        </w:rPr>
        <w:t>Ο έλεγχος του κύρους του δημοψηφίσματος και του αποτελέσματος της ψηφοφορίας ανήκει στην αρμοδιότητα του Διοικητικού Εφετείου στο οποίο υπάγεται η έδρα του οικείου δήμου ή της οικείας περιφέρειας.Οι ενστάσεις κατά του κύρους του δημοψηφίσματος και του αποτελέσματος της ψηφοφορίας συζητούνται κατά προτίμηση και πάντως μέσα σε ένα (1) μήνα από τη διεξαγωγή της ψηφοφορίας. Η απόφαση του Διοικητικού Εφετείου εκδίδεται εντός προθεσμίας τριάντα (30) ημερών από τη διεξαγωγή της συζήτησης.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p>
    <w:p w:rsidR="00FF2120" w:rsidRPr="00F55059" w:rsidRDefault="00FF2120" w:rsidP="00665A71">
      <w:pPr>
        <w:spacing w:line="360" w:lineRule="auto"/>
        <w:jc w:val="both"/>
        <w:rPr>
          <w:rFonts w:ascii="Times New Roman" w:hAnsi="Times New Roman" w:cs="Times New Roman"/>
          <w:b/>
          <w:sz w:val="24"/>
          <w:szCs w:val="24"/>
        </w:rPr>
      </w:pPr>
      <w:r w:rsidRPr="00665A71">
        <w:rPr>
          <w:rFonts w:ascii="Times New Roman" w:hAnsi="Times New Roman" w:cs="Times New Roman"/>
          <w:sz w:val="24"/>
          <w:szCs w:val="24"/>
        </w:rPr>
        <w:br w:type="page"/>
      </w:r>
      <w:r w:rsidRPr="00F55059">
        <w:rPr>
          <w:rFonts w:ascii="Times New Roman" w:hAnsi="Times New Roman" w:cs="Times New Roman"/>
          <w:b/>
          <w:sz w:val="24"/>
          <w:szCs w:val="24"/>
        </w:rPr>
        <w:t>Δημοτική και Περιφερειακή Διαμεσολάβηση</w:t>
      </w:r>
    </w:p>
    <w:p w:rsidR="00FF2120" w:rsidRPr="00665A71" w:rsidRDefault="00FF2120" w:rsidP="00665A71">
      <w:pPr>
        <w:spacing w:line="360" w:lineRule="auto"/>
        <w:jc w:val="both"/>
        <w:rPr>
          <w:rFonts w:ascii="Times New Roman" w:hAnsi="Times New Roman" w:cs="Times New Roman"/>
          <w:sz w:val="24"/>
          <w:szCs w:val="24"/>
        </w:rPr>
      </w:pPr>
    </w:p>
    <w:p w:rsidR="00FF2120" w:rsidRPr="00665A71" w:rsidRDefault="00FF2120" w:rsidP="00665A71">
      <w:pPr>
        <w:spacing w:line="360" w:lineRule="auto"/>
        <w:jc w:val="both"/>
        <w:rPr>
          <w:rFonts w:ascii="Times New Roman" w:hAnsi="Times New Roman" w:cs="Times New Roman"/>
          <w:sz w:val="24"/>
          <w:szCs w:val="24"/>
          <w:lang w:eastAsia="en-US"/>
        </w:rPr>
      </w:pP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b/>
          <w:sz w:val="24"/>
          <w:szCs w:val="24"/>
        </w:rPr>
        <w:t> </w:t>
      </w:r>
      <w:r w:rsidRPr="00665A71">
        <w:rPr>
          <w:rFonts w:ascii="Times New Roman" w:hAnsi="Times New Roman" w:cs="Times New Roman"/>
          <w:sz w:val="24"/>
          <w:szCs w:val="24"/>
        </w:rPr>
        <w:t>Αντικείμενο της δημοτικής και περιφερειακής διαμεσολάβησης είναι:</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α) η καταπολέμηση φαινομένων κακοδιοίκησης στους Ο.Τ.Α. και τα νομικά πρόσωπα αυτών,</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β) η βελτίωση της σχέσης των πολιτών με τις δημοτικές και περιφερειακές αρχές,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γ) η επίλυση και αποτροπή διαφορών των πολιτών με τις δημοτικές και περιφερειακές αρχές, ώστε να περιορίζεται η προσφυγή σε διοικητικές και δικαστικές διαδικασίες και</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δ) η συμβολή στη βελτίωση του τρόπου λειτουργίας των δημοτικών και περιφερειακών υπηρεσιών, η ενίσχυση της αποτελεσματικότητάς τους και της προσβασιμότητας των πολιτών σε αυτές.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Η δημοτική και περιφερειακή διαμεσολάβηση ασκείται με γνώμονα τη νομιμότητα, τη διαφάνεια, την αποτελεσματικότητα της διοίκησης και την προστασία των δικαιωμάτων των πολιτών.</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Οι Δημοτικοί και Περιφερειακοί Διαμεσολαβητές, κατά την άσκηση των καθηκόντων τους, διαθέτουν πλήρη λειτουργική και προσωπική ανεξαρτησία έναντι των δημοτικών, περιφερειακών και κρατικών αρχών και οφείλουν να ασκούν τα καθήκοντά τους με ευσυνειδησία και αμεροληψία.</w:t>
      </w:r>
      <w:r>
        <w:rPr>
          <w:rFonts w:ascii="Times New Roman" w:hAnsi="Times New Roman" w:cs="Times New Roman"/>
          <w:sz w:val="24"/>
          <w:szCs w:val="24"/>
        </w:rPr>
        <w:t xml:space="preserve"> </w:t>
      </w:r>
      <w:r w:rsidRPr="00665A71">
        <w:rPr>
          <w:rFonts w:ascii="Times New Roman" w:hAnsi="Times New Roman" w:cs="Times New Roman"/>
          <w:sz w:val="24"/>
          <w:szCs w:val="24"/>
        </w:rPr>
        <w:t>Η δημοτική διαμεσολάβηση ασκείται από τους Δημοτικούς Διαμεσολαβητές. Οι Δημοτικοί Διαμεσολαβητές είναι συνολικά πενήντα οκτώ (58) και η τοπική τους αρμοδιότητα κατανέμεται ως εξής:</w:t>
      </w:r>
      <w:r>
        <w:rPr>
          <w:rFonts w:ascii="Times New Roman" w:hAnsi="Times New Roman" w:cs="Times New Roman"/>
          <w:sz w:val="24"/>
          <w:szCs w:val="24"/>
        </w:rPr>
        <w:t xml:space="preserve"> </w:t>
      </w:r>
      <w:r w:rsidRPr="00665A71">
        <w:rPr>
          <w:rFonts w:ascii="Times New Roman" w:hAnsi="Times New Roman" w:cs="Times New Roman"/>
          <w:sz w:val="24"/>
          <w:szCs w:val="24"/>
        </w:rPr>
        <w:t>α) Πενήντα (50) Δημοτικοί Διαμεσολαβητές με αρμοδιότητα, ο καθένας, τους πρωτοβάθμιους Ο.Τ.Α. και τα νομικά πρόσωπα αυτών κάθε νομού, πλην Αττικής.</w:t>
      </w:r>
      <w:r>
        <w:rPr>
          <w:rFonts w:ascii="Times New Roman" w:hAnsi="Times New Roman" w:cs="Times New Roman"/>
          <w:sz w:val="24"/>
          <w:szCs w:val="24"/>
        </w:rPr>
        <w:t xml:space="preserve"> </w:t>
      </w:r>
      <w:r w:rsidRPr="00665A71">
        <w:rPr>
          <w:rFonts w:ascii="Times New Roman" w:hAnsi="Times New Roman" w:cs="Times New Roman"/>
          <w:sz w:val="24"/>
          <w:szCs w:val="24"/>
        </w:rPr>
        <w:t>β) Οκτώ (8) Δημοτικοί Διαμεσολαβητές με αρμοδιότητα, ο καθένας, τους πρωτοβάθμιους Ο.Τ.Α. και τα νομικά πρόσωπα αυτών κάθε Περιφερειακής Ενότητας της Περιφέρειας Αττικής.</w:t>
      </w:r>
      <w:r>
        <w:rPr>
          <w:rFonts w:ascii="Times New Roman" w:hAnsi="Times New Roman" w:cs="Times New Roman"/>
          <w:sz w:val="24"/>
          <w:szCs w:val="24"/>
        </w:rPr>
        <w:t xml:space="preserve"> </w:t>
      </w:r>
      <w:r w:rsidRPr="00665A71">
        <w:rPr>
          <w:rFonts w:ascii="Times New Roman" w:hAnsi="Times New Roman" w:cs="Times New Roman"/>
          <w:sz w:val="24"/>
          <w:szCs w:val="24"/>
        </w:rPr>
        <w:t>Η περιφερειακή διαμεσολάβηση ασκείται από τους Περιφερειακούς Διαμεσολαβητές. Οι Περιφερειακοί Διαμεσολαβητές είναι συνολικά δεκατρείς (13) και η τοπική αρμοδιότητα του καθενός εκτείνεται στην οικεία Περιφέρεια και στα νομικά της πρόσωπα.</w:t>
      </w:r>
    </w:p>
    <w:p w:rsidR="00FF2120" w:rsidRPr="00665A71" w:rsidRDefault="00FF2120" w:rsidP="00665A71">
      <w:pPr>
        <w:pStyle w:val="Heading2"/>
        <w:spacing w:line="360" w:lineRule="auto"/>
        <w:jc w:val="both"/>
        <w:rPr>
          <w:rFonts w:ascii="Times New Roman" w:hAnsi="Times New Roman"/>
          <w:sz w:val="24"/>
          <w:szCs w:val="24"/>
        </w:rPr>
      </w:pPr>
      <w:r w:rsidRPr="00665A71">
        <w:rPr>
          <w:rFonts w:ascii="Times New Roman" w:hAnsi="Times New Roman"/>
          <w:sz w:val="24"/>
          <w:szCs w:val="24"/>
        </w:rPr>
        <w:t>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Για την επιλογή σε θέση Δημοτικού ή Περιφερειακού Διαμεσολαβητή απαιτούνται τα ακόλουθα τυπικά προσόντα:</w:t>
      </w:r>
      <w:r>
        <w:rPr>
          <w:rFonts w:ascii="Times New Roman" w:hAnsi="Times New Roman" w:cs="Times New Roman"/>
          <w:sz w:val="24"/>
          <w:szCs w:val="24"/>
        </w:rPr>
        <w:t xml:space="preserve"> </w:t>
      </w:r>
      <w:r w:rsidRPr="00665A71">
        <w:rPr>
          <w:rFonts w:ascii="Times New Roman" w:hAnsi="Times New Roman" w:cs="Times New Roman"/>
          <w:sz w:val="24"/>
          <w:szCs w:val="24"/>
        </w:rPr>
        <w:t>α) Κατοχή πτυχίου ή μεταπτυχιακού τίτλου ΑΕΙ της ημεδαπής ή ισότιμου τίτλου της αλλοδαπής στα αντικείμενα των νομικών, πολιτικών, διοικητικών ή οικονομικών επιστημών.</w:t>
      </w:r>
      <w:r>
        <w:rPr>
          <w:rFonts w:ascii="Times New Roman" w:hAnsi="Times New Roman" w:cs="Times New Roman"/>
          <w:sz w:val="24"/>
          <w:szCs w:val="24"/>
        </w:rPr>
        <w:t xml:space="preserve"> </w:t>
      </w:r>
      <w:r w:rsidRPr="00665A71">
        <w:rPr>
          <w:rFonts w:ascii="Times New Roman" w:hAnsi="Times New Roman" w:cs="Times New Roman"/>
          <w:sz w:val="24"/>
          <w:szCs w:val="24"/>
        </w:rPr>
        <w:t>β) Επαγγελματική εμπειρία τουλάχιστον πέντε (5) ετών στα επιστημονικά αντικείμενα της περίπτωσης α'.γ) Άριστη ή πολύ καλή γνώση μιας τουλάχιστον ξένης γλώσσας.</w:t>
      </w:r>
      <w:r>
        <w:rPr>
          <w:rFonts w:ascii="Times New Roman" w:hAnsi="Times New Roman" w:cs="Times New Roman"/>
          <w:sz w:val="24"/>
          <w:szCs w:val="24"/>
        </w:rPr>
        <w:t xml:space="preserve"> </w:t>
      </w:r>
      <w:r w:rsidRPr="00665A71">
        <w:rPr>
          <w:rFonts w:ascii="Times New Roman" w:hAnsi="Times New Roman" w:cs="Times New Roman"/>
          <w:sz w:val="24"/>
          <w:szCs w:val="24"/>
        </w:rPr>
        <w:t>Επιτρέπεται η επιλογή δημοσίου υπαλλήλου ως Δημοτικού ή Περιφερειακού Διαμεσολαβητή. Στην περίπτωση αυτή, τα καθήκοντα του επιλεγέντος αναστέλλονται για όσο χρόνο διαρκεί η θητεία του ως Διαμεσολαβητή. Ο χρόνος που διανύεται σε θέση Δημοτικού ή Περιφερειακού Διαμεσολαβητή θεωρείται χρόνος πραγματικής υπηρεσίας σε θέση προϊσταμένου επιπέδου Διεύθυνσης, ως προς όλες τις υπηρεσιακές, μισθολογικές και ασφαλιστικές συνέπειες.</w:t>
      </w:r>
      <w:r>
        <w:rPr>
          <w:rFonts w:ascii="Times New Roman" w:hAnsi="Times New Roman" w:cs="Times New Roman"/>
          <w:sz w:val="24"/>
          <w:szCs w:val="24"/>
        </w:rPr>
        <w:t xml:space="preserve"> </w:t>
      </w:r>
      <w:r w:rsidRPr="00665A71">
        <w:rPr>
          <w:rFonts w:ascii="Times New Roman" w:hAnsi="Times New Roman" w:cs="Times New Roman"/>
          <w:sz w:val="24"/>
          <w:szCs w:val="24"/>
        </w:rPr>
        <w:t>Τα κωλύματα και τα ασυμβίβαστα που ισχύουν για τους αιρετούς των Ο.Τ.Α. Α' και Β' βαθμού, ισχύουν, αντίστοιχα, και για τους Δημοτικούς και Περιφερειακούς Διαμεσολαβητές.</w:t>
      </w:r>
      <w:r>
        <w:rPr>
          <w:rFonts w:ascii="Times New Roman" w:hAnsi="Times New Roman" w:cs="Times New Roman"/>
          <w:sz w:val="24"/>
          <w:szCs w:val="24"/>
        </w:rPr>
        <w:t xml:space="preserve"> </w:t>
      </w:r>
      <w:r w:rsidRPr="00665A71">
        <w:rPr>
          <w:rFonts w:ascii="Times New Roman" w:hAnsi="Times New Roman" w:cs="Times New Roman"/>
          <w:sz w:val="24"/>
          <w:szCs w:val="24"/>
        </w:rPr>
        <w:t>Επιπλέον δεν επιτρέπεται να επιλεγούν σε θέση Δημοτικού ή Περιφερειακού Διαμεσολαβητή:</w:t>
      </w:r>
      <w:r>
        <w:rPr>
          <w:rFonts w:ascii="Times New Roman" w:hAnsi="Times New Roman" w:cs="Times New Roman"/>
          <w:sz w:val="24"/>
          <w:szCs w:val="24"/>
        </w:rPr>
        <w:t xml:space="preserve"> </w:t>
      </w:r>
      <w:r w:rsidRPr="00665A71">
        <w:rPr>
          <w:rFonts w:ascii="Times New Roman" w:hAnsi="Times New Roman" w:cs="Times New Roman"/>
          <w:sz w:val="24"/>
          <w:szCs w:val="24"/>
        </w:rPr>
        <w:t>α) όσοι έχουν διατελέσει αιρετοί, έως και πέντε (5) έτη πριν την έκδοση της σχετικής προκήρυξης σε οποιοδήποτε αυτοδιοικητικό αξίωμα στον οικείο νομό, ακόμα και αν παραιτηθούν του αιρετού αξιώματός τους,</w:t>
      </w:r>
      <w:r>
        <w:rPr>
          <w:rFonts w:ascii="Times New Roman" w:hAnsi="Times New Roman" w:cs="Times New Roman"/>
          <w:sz w:val="24"/>
          <w:szCs w:val="24"/>
        </w:rPr>
        <w:t xml:space="preserve"> </w:t>
      </w:r>
      <w:r w:rsidRPr="00665A71">
        <w:rPr>
          <w:rFonts w:ascii="Times New Roman" w:hAnsi="Times New Roman" w:cs="Times New Roman"/>
          <w:sz w:val="24"/>
          <w:szCs w:val="24"/>
        </w:rPr>
        <w:t>β) οι διατελέσαντες δικαστικοί λειτουργοί και οι αξιωματικοί των ενόπλων δυνάμεων και των σωμάτων ασφαλείας,</w:t>
      </w:r>
      <w:r>
        <w:rPr>
          <w:rFonts w:ascii="Times New Roman" w:hAnsi="Times New Roman" w:cs="Times New Roman"/>
          <w:sz w:val="24"/>
          <w:szCs w:val="24"/>
        </w:rPr>
        <w:t xml:space="preserve"> </w:t>
      </w:r>
      <w:r w:rsidRPr="00665A71">
        <w:rPr>
          <w:rFonts w:ascii="Times New Roman" w:hAnsi="Times New Roman" w:cs="Times New Roman"/>
          <w:sz w:val="24"/>
          <w:szCs w:val="24"/>
        </w:rPr>
        <w:t>γ) όσοι έχουν καταδικαστεί για οποιοδήποτε από τα αδικήματα που αποτελούν κώλυμα διορισμού σύμφωνα με το άρθρο 8 του Υπαλληλικού Κώδικα.</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Απαγορεύεται οποιαδήποτε επαγγελματική δραστηριότητα του Δημοτικού και Περιφερειακού Διαμεσολαβητή. Δικηγόροι και καθηγητές ΑΕΙ και ΤΕΙ, τίθενται σε υποχρεωτική αναστολή άσκησης καθηκόντων για όσο χρόνο διαρκεί η θητεία τους ως Δημοτικών ή Περιφερειακών Διαμεσολαβητών.</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Ο Δημοτικός και Περιφερειακός Διαμεσολαβητής δεν ευθύνεται και δεν διώκεται για γνώμη που διατυπώνει στην άσκηση των καθηκόντων του, με την επιφύλαξη των διατάξεων περί συκοφαντικής δυσφήμησης.</w:t>
      </w:r>
      <w:r>
        <w:rPr>
          <w:rFonts w:ascii="Times New Roman" w:hAnsi="Times New Roman" w:cs="Times New Roman"/>
          <w:sz w:val="24"/>
          <w:szCs w:val="24"/>
        </w:rPr>
        <w:t xml:space="preserve"> </w:t>
      </w:r>
      <w:r w:rsidRPr="00665A71">
        <w:rPr>
          <w:rFonts w:ascii="Times New Roman" w:hAnsi="Times New Roman" w:cs="Times New Roman"/>
          <w:sz w:val="24"/>
          <w:szCs w:val="24"/>
        </w:rPr>
        <w:t>Ο Διαμεσολαβητής ευθύνεται μόνο για δόλο ή βαριά αμέλεια για πράξεις που σχετίζονται με την άσκηση των καθηκόντων του, εφαρμοζομένων αναλόγως των διατάξεων του άρθρου 38 του Υπαλληλικού Κώδικα.</w:t>
      </w:r>
    </w:p>
    <w:p w:rsidR="00FF2120" w:rsidRPr="00665A71" w:rsidRDefault="00FF2120" w:rsidP="00665A71">
      <w:pPr>
        <w:spacing w:line="360" w:lineRule="auto"/>
        <w:jc w:val="both"/>
        <w:rPr>
          <w:rFonts w:ascii="Times New Roman" w:hAnsi="Times New Roman" w:cs="Times New Roman"/>
          <w:sz w:val="24"/>
          <w:szCs w:val="24"/>
        </w:rPr>
      </w:pPr>
    </w:p>
    <w:p w:rsidR="00FF2120" w:rsidRPr="00F55059"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Ο Δημοτικός και ο Περιφερειακός Διαμεσολαβητής επιλέγονται για πενταετή θητεία, με δυνατότητα ανανέωσης για μία (1) ακόμα φορά.</w:t>
      </w:r>
      <w:r>
        <w:rPr>
          <w:rFonts w:ascii="Times New Roman" w:hAnsi="Times New Roman" w:cs="Times New Roman"/>
          <w:sz w:val="24"/>
          <w:szCs w:val="24"/>
        </w:rPr>
        <w:t xml:space="preserve"> </w:t>
      </w:r>
      <w:r w:rsidRPr="00665A71">
        <w:rPr>
          <w:rFonts w:ascii="Times New Roman" w:hAnsi="Times New Roman" w:cs="Times New Roman"/>
          <w:sz w:val="24"/>
          <w:szCs w:val="24"/>
        </w:rPr>
        <w:t>Αν για οποιονδήποτε λόγο η διαδικασία επιλογής και η ανάληψη των καθηκόντων του νέου Διαμεσολαβητή δεν έχει ολοκληρωθεί ως τη λήξη της θητείας του απερχόμενου, εξακολουθεί να ασκεί τα καθήκοντά του ο απερχόμενος Διαμεσολαβητής.</w:t>
      </w:r>
      <w:r>
        <w:rPr>
          <w:rFonts w:ascii="Times New Roman" w:hAnsi="Times New Roman" w:cs="Times New Roman"/>
          <w:sz w:val="24"/>
          <w:szCs w:val="24"/>
        </w:rPr>
        <w:t xml:space="preserve"> </w:t>
      </w:r>
      <w:r w:rsidRPr="00665A71">
        <w:rPr>
          <w:rFonts w:ascii="Times New Roman" w:hAnsi="Times New Roman" w:cs="Times New Roman"/>
          <w:sz w:val="24"/>
          <w:szCs w:val="24"/>
        </w:rPr>
        <w:t>Αν ο Διαμεσολαβητής παραιτηθεί ή εάν αποβιώσει ή εάν αδυνατεί να ασκήσει τα καθήκοντά του για περισσότερους από έξι (6) μήνες, επιλέγεται νέος Διαμεσολαβητής. Στην περίπτωση αυτή ο νέος Διαμεσολαβητής επιλέγεται για πλήρη θητεία.</w:t>
      </w:r>
      <w:r w:rsidRPr="00665A71">
        <w:rPr>
          <w:rFonts w:ascii="Times New Roman" w:hAnsi="Times New Roman" w:cs="Times New Roman"/>
          <w:i/>
          <w:sz w:val="24"/>
          <w:szCs w:val="24"/>
        </w:rPr>
        <w:t> </w:t>
      </w:r>
      <w:r w:rsidRPr="00665A71">
        <w:rPr>
          <w:rFonts w:ascii="Times New Roman" w:hAnsi="Times New Roman" w:cs="Times New Roman"/>
          <w:sz w:val="24"/>
          <w:szCs w:val="24"/>
        </w:rPr>
        <w:t>Έξι (6) μήνες πριν από τη λήξη της θητείας του απερχόμενου Δημοτικού Διαμεσολαβητή, ο δήμαρχος της έδρας του οικείου νομού εκδίδει προκήρυξη για τη θέση του Δημοτικού Διαμεσολαβητή, η οποία δημοσιεύεται σε δύο (2) εφημερίδες πανελλαδικής κυκλοφορίας και σε δύο (2) τοπικές εφημερίδες του οικείου Νομού, επιπλέον δε αναρτάται στην ιστοσελίδα της οικείας Περιφερειακής Ένωσης Δήμων και κάθε δήμου του νομού και στην ιστοσελίδα του Υπουργείου Εσωτερικών. Κατά την πρώτη εφαρμογή του παρόντος, η προκήρυξη εκδίδεται μέσα σε (1) μήνα από την ανάληψη των καθηκόντων των νέων Δημοτικών Αρχών.</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xml:space="preserve">  </w:t>
      </w:r>
      <w:r w:rsidRPr="00665A71">
        <w:rPr>
          <w:rFonts w:ascii="Times New Roman" w:hAnsi="Times New Roman" w:cs="Times New Roman"/>
          <w:sz w:val="24"/>
          <w:szCs w:val="24"/>
        </w:rPr>
        <w:tab/>
        <w:t>Μέσα σε τριάντα (30) ημέρες από τη δημοσίευση της προκήρυξης οι ενδιαφερόμενοι να καταλάβουν τη θέση του Δημοτικού Διαμεσολαβητή υποβάλλουν τις αιτήσεις τους στο δήμο της έδρας του νομού. Κάθε αίτηση συνοδεύεται από φάκελο υποψηφιότητας, ο οποίος περιλαμβάνει, επί ποινή αποκλεισμού, όλα τα δικαιολογητικά που αποδεικνύουν τα απαιτούμενα τυπικά προσόντα, καθώς και αναλυτικό βιογραφικό σημείωμα του υποψηφίου, ενώ μπορεί να περιλαμβάνει και κάθε επιπλέον στοιχείο, το οποίο ο υποψήφιος κρίνει χρήσιμο για την αξιολόγηση της υποψηφιότητάς του.</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Με το πέρας της προθεσμίας υποβολής των αιτήσεων, η αρμόδια υπηρεσία του Δήμου της έδρας του Νομού, ελέγχει τις κατατεθείσες αιτήσεις και τους σχετικούς φακέλους υποψηφιότητας ως προς την πλήρωση των νόμιμων προϋποθέσεων. Με αιτιολογημένη απόφαση του δημάρχου της έδρας του νομού καταρτίζεται πίνακας των υποψηφιοτήτων που έγιναν τυπικά δεκτές, ο οποίος αποστέλλεται στους δήμους του νομού και κοινοποιείται σε όσους υπέβαλαν αίτηση και στον Υπουργό Εσωτερικών.</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Όποιος υπέβαλε αίτηση και παραλείφθηκε από τον πίνακα των τυπικά δεκτών υποψηφιοτήτων  δικαιούται να προσφύγει κατά της απόφασης του δημάρχου της έδρας του νομού μέσα σε δέκα (10) ημέρες από την κοινοποίηση της απόφασης σε αυτόν ενώπιον του οικείου Επόπτη Ο.Τ.Α., ο οποίος αποφαίνεται επί της προσφυγής σε πρώτο και τελευταίο βαθμό μέσα σε προθεσμία δεκαπέντε (15) ημερών από την υποβολή της.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Οι εκπρόσωποι των δημοτικών συμβουλίων του νομού στην οικεία Περιφερειακή Ένωση Δήμων (Π.Ε.Δ.), πλην του Δημάρχου και το σύνολο των μελών των Προεδρείων των δημοτικών συμβουλίων του οικείου νομού συνιστούν το αρμόδιο για την επιλογή Δημοτικού Διαμεσολαβητή εκλεκτορικό σώμα.</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Με την πάροδο εξήντα (60) ημερών από την έκδοση της απόφασης  εκδίδεται πρόσκληση του δημάρχου της έδρας του νομού για ειδική δημόσια συνεδρίαση του ως άνω οργάνου. Στη συνεδρίαση αυτή γίνεται ακρόαση των υποψηφίων για τη θέση του Διαμεσολαβητή.</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Μετά την ακρόαση των υποψηφίων, διεξάγεται μυστική ψηφοφορία για την εκλογή του Δημοτικού Διαμεσολαβητή. Δημοτικός Διαμεσολαβητής εκλέγεται ο υποψήφιος που θα συγκεντρώσει την απόλυτη πλειοψηφία των μελών του εκλεκτορικού σώματος. Σε περίπτωση μη επίτευξης απόλυτης πλειοψηφίας, η συνεδρίαση για την εκλογή Διαμεσολαβητή επαναλαμβάνεται άλλες δύο (2) φορές, σε συνεδριάσεις που δεν μπορεί να απέχουν λιγότερο από πέντε (5) και περισσότερες από δεκαπέντε (15) ημέρες η καθεμία από την προηγούμενη. Στην τρίτη μυστική ψηφοφορία, Δημοτικός Διαμεσολαβητής εκλέγεται από τους δύο (2) πλειοψηφήσαντες στην τελευταία συνεδρίαση υποψήφιους, αυτός που συγκέντρωσε τις περισσότερες ψήφους.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Για το διορισμό του Δημοτικού Διαμεσολαβητή που έχει εκλεγεί εκδίδεται διαπιστωτική πράξη του Δημάρχου της έδρας του Νομού, η οποία δημοσιεύεται στην Εφημερίδα της Κυβερνήσεως.</w:t>
      </w:r>
    </w:p>
    <w:p w:rsidR="00FF2120" w:rsidRPr="00665A71" w:rsidRDefault="00FF2120" w:rsidP="00665A71">
      <w:pPr>
        <w:spacing w:line="360" w:lineRule="auto"/>
        <w:ind w:firstLine="720"/>
        <w:jc w:val="both"/>
        <w:rPr>
          <w:rFonts w:ascii="Times New Roman" w:hAnsi="Times New Roman" w:cs="Times New Roman"/>
          <w:sz w:val="24"/>
          <w:szCs w:val="24"/>
        </w:rPr>
      </w:pPr>
      <w:r w:rsidRPr="00665A71">
        <w:rPr>
          <w:rFonts w:ascii="Times New Roman" w:hAnsi="Times New Roman" w:cs="Times New Roman"/>
          <w:sz w:val="24"/>
          <w:szCs w:val="24"/>
        </w:rPr>
        <w:t> Πριν από την ανάληψη των καθηκόντων του, ο Δημοτικός Διαμεσολαβητής υποχρεούται να ολοκληρώσει επιτυχώς κύκλο εντατικής εκπαίδευσης μέγιστης διάρκειας δεκαπέντε (15) ημερών, που διοργανώνεται από τον Συνήγορο του Πολίτη, σε συνεργασία με το Υπουργείο Εσωτερικών, την ΚΕΔΕ, την ΕΝΠΕ και το ΕΚΔΔΑ. Οι λεπτομέρειες για το περιεχόμενο της εκπαίδευσης και τον τρόπο πιστοποίησης της επιτυχούς ολοκλήρωσής της καθορίζονται με απόφαση του Υπουργού Εσωτερικών.</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Όποιος υπέβαλε αίτηση και παραλείφθηκε από τον πίνακα των τυπικά δεκτών υποψηφιοτήτων δικαιούται να προσφύγει κατά της απόφασης του Περιφερειάρχη μέσα σε δέκα (10) ημέρες από την κοινοποίηση της απόφασης σε αυτόν ενώπιον του οικείου Επόπτη Ο.Τ.Α., ο οποίος αποφαίνεται επί της προσφυγής σε πρώτο και τελευταίο βαθμό μέσα σε προθεσμία δεκαπέντε (15) ημερών από την υποβολή της.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Αρμόδιο όργανο για την επιλογή Περιφερειακού Διαμεσολαβητή είναι το οικείο Περιφερειακό Συμβούλιο.</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Με την πάροδο εξήντα (60) ημερών εκδίδεται πρόσκληση του Προέδρου του Περιφερειακού Συμβουλίου για ειδική δημόσια συνεδρίαση. Στη συνεδρίαση αυτή γίνεται ακρόαση των υποψηφίων για τη θέση του Διαμεσολαβητή.</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Μετά την ακρόαση των υποψηφίων, διεξάγεται μυστική ψηφοφορία για την εκλογή του Περιφερειακού Διαμεσολαβητή. Περιφερειακός Διαμεσολαβητής εκλέγεται ο υποψήφιος που θα συγκεντρώσει την απόλυτη πλειοψηφία των μελών του εκλεκτορικού σώματος. Σε περίπτωση μη επίτευξης απόλυτης πλειοψηφίας, η συνεδρίαση για την εκλογή Διαμεσολαβητή επαναλαμβάνεται άλλες δύο (2) φορές, σε συνεδριάσεις που δεν μπορεί να απέχουν λιγότερο από πέντε (5) και περισσότερες από δεκαπέντε (15) ημέρες η καθεμία από την προηγούμενη. Στην τρίτη μυστική ψηφοφορία Περιφερειακός Διαμεσολαβητής εκλέγεται από τους δύο (2) πλειοψηφήσαντες στην τελευταία συνεδρίαση υποψήφιους, αυτός που συγκέντρωσε τις περισσότερες ψήφους.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Για το διορισμό του Περιφερειακού Διαμεσολαβητή που έχει εκλεγεί εκδίδεται διαπιστωτική πράξη του Περιφερειάρχη, η οποία δημοσιεύεται στην Εφημερίδα της Κυβερνήσεως.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Πριν την ανάληψη των καθηκόντων του, ο Περιφερειακός Διαμεσολαβητής υποχρεούται να ολοκληρώσει επιτυχώς κύκλο εντατικής εκπαίδευσης μέγιστης διάρκειας δεκαπέντε (15) ημερών, που διοργανώνεται από τον Συνήγορο του Πολίτη, σε συνεργασία με το Υπουργείο Εσωτερικών, την ΚΕΔΕ, την ΕΝΠΕ και το ΕΚΔΔΑ. Με απόφαση του Υπουργού Εσωτερικών καθορίζονται το περιεχόμενο της εκπαίδευσης, ο τρόπος πιστοποίησης της επιτυχούς ολοκλήρωσής της και κάθε άλλο αναγκαίο θέμα.</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Ο Δημοτικός και ο Περιφερειακός Διαμεσολαβητής μπορεί να παυθούν, για σοβαρή πλημμέλεια στην άσκηση των καθηκόντων τους, , με πλειοψηφία τριών πέμπτων (3/5) του συνολικού αριθμού των μελών του, κατά τις διατάξεις του νόμου.</w:t>
      </w:r>
    </w:p>
    <w:p w:rsidR="00FF2120" w:rsidRPr="00665A71" w:rsidRDefault="00FF2120" w:rsidP="00F55059">
      <w:pPr>
        <w:spacing w:line="360" w:lineRule="auto"/>
        <w:jc w:val="both"/>
        <w:rPr>
          <w:rFonts w:ascii="Times New Roman" w:hAnsi="Times New Roman" w:cs="Times New Roman"/>
          <w:sz w:val="24"/>
          <w:szCs w:val="24"/>
        </w:rPr>
      </w:pPr>
      <w:r w:rsidRPr="00665A71">
        <w:rPr>
          <w:rFonts w:ascii="Times New Roman" w:hAnsi="Times New Roman" w:cs="Times New Roman"/>
          <w:color w:val="FF0000"/>
          <w:sz w:val="24"/>
          <w:szCs w:val="24"/>
        </w:rPr>
        <w:tab/>
      </w:r>
      <w:r w:rsidRPr="00665A71">
        <w:rPr>
          <w:rFonts w:ascii="Times New Roman" w:hAnsi="Times New Roman" w:cs="Times New Roman"/>
          <w:sz w:val="24"/>
          <w:szCs w:val="24"/>
        </w:rPr>
        <w:t>Για την παύση του περιφερειακού διευθυντή αρμοδιότητα έχει επιτροπή που αποτελείται από το Συνήγορο του Πολίτη ή τον οριζόμενο υπό αυτού Βοηθό Συνήγορο, ως πρόεδρο, τον Γενικό Διευθυντή Αποκέντρωσης και Τοπικής Αυτοδιοίκησης του Υπουργείου Εσωτερικών, έναν (1) Δημοτικό Διαμεσολαβητή, έναν (1) Περιφερειακό Διαμεσολαβητή, έναν (1) εκπρόσωπο της Κεντρικής Ένωσης Δήμων και έναν (1) εκπρόσωπο της Ένωσης Περιφερειών, με τους αναπληρωτές τους. Η επιτροπή συγκροτείται με απόφαση του Υπουργού Εσωτερικών, μέσα σε δύο (2) μήνες από την εγκατάσταση των νέων κάθε φορά δημοτικών και περιφερειακών αρχών.</w:t>
      </w:r>
      <w:r w:rsidRPr="00665A71">
        <w:rPr>
          <w:rFonts w:ascii="Times New Roman" w:hAnsi="Times New Roman" w:cs="Times New Roman"/>
          <w:b/>
          <w:sz w:val="24"/>
          <w:szCs w:val="24"/>
        </w:rPr>
        <w:t> </w:t>
      </w:r>
      <w:r w:rsidRPr="00665A71">
        <w:rPr>
          <w:rFonts w:ascii="Times New Roman" w:hAnsi="Times New Roman" w:cs="Times New Roman"/>
          <w:sz w:val="24"/>
          <w:szCs w:val="24"/>
        </w:rPr>
        <w:t>Ο Δημοτικός και ο Περιφερειακός Διαμεσολαβητής επιλαμβάνονται, ύστερα από υποβολή ενυπόγραφης αναφοράς από θιγόμενα φυσικά ή νομικά πρόσωπα ή και αυτεπαγγέλτως, υποθέσεων που αφορούν κακοδιοίκηση ή προβληματική εν γένει λειτουργία των υπηρεσιών του δήμου, της περιφέρειας, των νομικών τους προσώπων και των επιχειρήσεών τους και διαμεσολαβεί προκειμένου να επιλυθούν οι σχετικές διαφορές, προστατεύοντας τα δικαιώματα των διοικούμενων έναντι των εν λόγω υπηρεσιών.</w:t>
      </w:r>
      <w:r>
        <w:rPr>
          <w:rFonts w:ascii="Times New Roman" w:hAnsi="Times New Roman" w:cs="Times New Roman"/>
          <w:sz w:val="24"/>
          <w:szCs w:val="24"/>
        </w:rPr>
        <w:t xml:space="preserve"> </w:t>
      </w:r>
      <w:r w:rsidRPr="00665A71">
        <w:rPr>
          <w:rFonts w:ascii="Times New Roman" w:hAnsi="Times New Roman" w:cs="Times New Roman"/>
          <w:sz w:val="24"/>
          <w:szCs w:val="24"/>
        </w:rPr>
        <w:t xml:space="preserve">Ο Δημοτικός και Περιφερειακός Διαμεσολαβητής εκπληρώνει τους σκοπούς εντός των ορίων της τοπικής και καθ' ύλην αρμοδιότητάς του, με τους εξής, κυρίως, τρόπους: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 xml:space="preserve">α) ενημέρωση, η οποία συνίσταται κυρίως σε: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 xml:space="preserve">αα) πληροφόρηση του κοινού, αλλά και ατομικά των πολιτών που απευθύνονται σε αυτόν, για τα δικαιώματά τους και τις υποχρεώσεις του οικείου Ο.Τ.Α. ή νομικού προσώπου αυτού, καθώς και για τις δυνατότητες προστασίας που έχουν,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 xml:space="preserve">ββ) έκδοση σχετικού πληροφοριακού υλικού.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xml:space="preserve">  </w:t>
      </w:r>
      <w:r w:rsidRPr="00665A71">
        <w:rPr>
          <w:rFonts w:ascii="Times New Roman" w:hAnsi="Times New Roman" w:cs="Times New Roman"/>
          <w:sz w:val="24"/>
          <w:szCs w:val="24"/>
        </w:rPr>
        <w:tab/>
        <w:t xml:space="preserve">β) Διαμεσολάβηση, η οποία συνίσταται κυρίως σε: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αα) παραλαβή καταγγελιών και αναφορών πολιτών και εξέτασή τους,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 xml:space="preserve"> ββ) αλληλογραφία ή/και επιτόπιες επισκέψεις στις υπηρεσίες του οικείου Ο.Τ.Α. ή νομικού προσώπου αυτού και συνεργασία με τα αρμόδια αιρετά όργανα ή υπηρεσιακά στελέχη,</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γγ) οργάνωση συναντήσεων διαμεσολάβησης μεταξύ των ενδιαφερόμενων πολιτών και των αρμόδιων αιρετών ή υπηρεσιακών στελεχών,</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δδ) σύνταξη και κοινοποίηση έγγραφων αναφορών στον αρμόδιο Επόπτη Ο.Τ.Α. ή και στον Υπουργό Εσωτερικών.</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xml:space="preserve">   </w:t>
      </w:r>
      <w:r w:rsidRPr="00665A71">
        <w:rPr>
          <w:rFonts w:ascii="Times New Roman" w:hAnsi="Times New Roman" w:cs="Times New Roman"/>
          <w:sz w:val="24"/>
          <w:szCs w:val="24"/>
        </w:rPr>
        <w:tab/>
        <w:t xml:space="preserve">γ) Δημοσιότητα, η οποία συνίσταται κυρίως σε: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αα) σύνταξη και δημοσίευση ετήσιας έκθεσης, η οποία παρουσιάζεται και συζητείται υποχρεωτικά σε ειδική δημόσια συνεδρίαση του οικείου Περιφερειακού Συμβουλίου ή των οικείων Δημοτικών Συμβουλίων, αντίστοιχα, εντός ενός (1) μηνός από την κοινοποίηση σε αυτά,</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ββ) σύνταξη και δημοσίευση ειδικών εκθέσεων για συγκεκριμένα θέματα που, κατά την κρίση του Διαμεσολαβητή προκαλούν μεγαλύτερα προβλήματα και χρήζουν διακριτής αντιμετώπισης και ειδικών πορισμάτων, με προτάσεις για τη βελτίωση της λειτουργίας του Δήμου ή της Περιφέρειας και την προστασία των δικαιωμάτων των πολιτών. Οι ειδικές αυτές εκθέσεις και πορίσματα κοινοποιούνται στο οικείο Δημοτικό ή Περιφερειακό Συμβούλιο και εισάγονται υποχρεωτικά προς συζήτηση το αργότερο μέσα σε (1) μήνα από την παραλαβή τους, με ευθύνη του Προέδρου του.</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Ο Δημοτικός ή Περιφερειακός Διαμεσολαβητής είναι υποχρεωμένος να απαντά εγγράφως ή μέσω ηλεκτρονικού ταχυδρομείου εντός τριάντα (30) ημερών από την υποβολή της σχετικής καταγγελίας ή αναφοράς στους ενδιαφερόμενους, ως προς τις διαμεσολαβητικές ενέργειες στις οποίες προέβη. Αν απαιτείται περισσότερος χρόνος για την επίλυση της υπόθεσης, λόγω των περιστάσεων αυτής, ο Διαμεσολαβητής ενημερώνει, επίσης εγγράφως ή μέσω ηλεκτρονικού ταχυδρομείου, τους ενδιαφερομένους για τους λόγους της καθυστέρησης και για τον εκτιμώμενο χρόνο ολοκλήρωσης της υπόθεσης.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Ο Διαμεσολαβητής δύναται να μην ανακοινώνει το όνομα και τα άλλα προσωπικά στοιχεία του προσώπου που κατέθεσε καταγγελία, εφόσον το ζητήσει εγγράφως ο ίδιος ο ενδιαφερόμενος και εφόσον η διερεύνηση της καταγγελίας είναι δυνατή χωρίς ανακοίνωση του ονόματος. Αν εκ των πραγμάτων η διερεύνηση δεν είναι δυνατή χωρίς ανακοίνωση του ονόματος, ο ενδιαφερόμενος ειδοποιείται ότι η αναφορά του θα τεθεί στο αρχείο, εφόσον ο ίδιος δεν συναινέσει εγγράφως στην ανακοίνωση του ονόματός του.</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Οι υπηρεσίες των Δήμων, των Περιφερειών και των νομικών προσώπων αυτών, προς τις οποίες απευθύνεται ο Δημοτικός ή Περιφερειακός Διαμεσολαβητής, στο πλαίσιο του διαμεσολαβητικού του ρόλου, υποχρεούνται να συνεργάζονται μαζί του, να λαμβάνουν μέρος στις διαμεσολαβητικές πρωτοβουλίες που αναλαμβάνονται και να τον υποβοηθούν στο έργο του, παρέχοντας, ιδίως, κάθε πληροφορία, έγγραφο ή άλλο στοιχείο που αφορά την εξεταζόμενη υπόθεση. Οφείλουν επίσης να απαντούν εγγράφως ή προφορικά σε ερωτήματα και αιτήματα του Διαμεσολαβητή, μέσα σε τριάντα (30) ημέρες από την παραλαβή τους. Άρνηση υπαλλήλου να συνεργαστεί με το Διαμεσολαβητή κατά τη διεξαγωγή της έρευνας, συνιστά πειθαρχικό παράπτωμα.</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Σε περίπτωση που από τον Διαμεσολαβητή συντάσσεται έκθεση ή πόρισμα που διατυπώνει συγκεκριμένες προτάσεις ως προς τη βελτίωση της λειτουργίας συγκεκριμένης υπηρεσίας, αυτή οφείλει μέσα σε εξήντα (60) ημέρες, από την παραλαβή της έκθεσης ή του πορίσματος, να γνωστοποιεί εγγράφως στον Διαμεσολαβητή τα μέτρα που έχει λάβει για την υλοποίηση των προτάσεών του ή τους λόγους που καθιστούν αδύνατη ή μη σκόπιμη την υλοποίησή τους.</w:t>
      </w:r>
    </w:p>
    <w:p w:rsidR="00FF2120" w:rsidRPr="00665A71" w:rsidRDefault="00FF2120" w:rsidP="00665A71">
      <w:pPr>
        <w:spacing w:line="360" w:lineRule="auto"/>
        <w:jc w:val="both"/>
        <w:rPr>
          <w:rFonts w:ascii="Times New Roman" w:hAnsi="Times New Roman" w:cs="Times New Roman"/>
          <w:sz w:val="24"/>
          <w:szCs w:val="24"/>
        </w:rPr>
      </w:pPr>
    </w:p>
    <w:p w:rsidR="00FF2120" w:rsidRPr="00665A71" w:rsidRDefault="00FF2120" w:rsidP="00665A71">
      <w:pPr>
        <w:spacing w:line="360" w:lineRule="auto"/>
        <w:jc w:val="both"/>
        <w:rPr>
          <w:rFonts w:ascii="Times New Roman" w:hAnsi="Times New Roman" w:cs="Times New Roman"/>
          <w:color w:val="FF0000"/>
          <w:sz w:val="24"/>
          <w:szCs w:val="24"/>
        </w:rPr>
      </w:pPr>
      <w:r w:rsidRPr="00665A71">
        <w:rPr>
          <w:rFonts w:ascii="Times New Roman" w:hAnsi="Times New Roman" w:cs="Times New Roman"/>
          <w:sz w:val="24"/>
          <w:szCs w:val="24"/>
        </w:rPr>
        <w:t> Σε κάθε Δήμο που αποτελεί έδρα του οικείου Δημοτικού Διαμεσολαβητή συστήνεται Αυτοτελές Γραφείο Δημοτικού Διαμεσολαβητή. Επικεφαλής του οικείου Γραφείου είναι ο Δημοτικός Διαμεσολαβητής ο οποίος δεν υπάγεται ιεραρχικά στον δήμαρχο. Το Αυτοτελές Γραφείο Δημοτικού Διαμεσολαβητή στελεχώνεται με τρεις (3) υπαλλήλους των δήμων και των νομικών προσώπων αυτών του αντίστοιχου νομού, εκ των οποίων δύο (2) κατηγορίας ΠΕ και ένας (1) κατηγορίας ΔΕ. Για τον σκοπό αυτό, εντός προθεσμίας δέκα (10) εργάσιμων ημερών από την επιλογή του Δημοτικού Διαμεσολαβητή,  ο δήμαρχος του δήμου της έδρας του νομού δημοσιεύει πρόσκληση εκδήλωσης ενδιαφέροντος, η οποία κοινοποιείται σε όλους τους δήμους του νομού και δημοσιεύεται στις ιστοσελίδες αυτών. Εντός προθεσμίας ενός (1) μηνός από τη δημοσίευση της πρόσκλησης, υποβάλλονται οι δηλώσεις ενδιαφέροντος των ενδιαφερόμενων υπαλλήλων και, μέσα σε τρεις (3) εργάσιμες ημέρες από τη λήξη της προθεσμίας αυτής, ο δήμαρχος του δήμου της έδρας του νομού, κοινοποιεί στον Διαμεσολαβητή τις υποβληθείσες δηλώσεις. Ο Διαμεσολαβητής επιλέγει, μεταξύ των ενδιαφερόμενων και με βάση τα τυπικά τους προσόντα και την υπηρεσιακή τους εμπειρία, τους υπαλλήλους προς απόσπαση, με δήλωσή του, που κοινοποιείται στον δήμαρχο του δήμου της έδρας του νομού και στον δήμαρχο του δήμου στον οποίο ανήκει η οργανική θέση κάθε αποσπώμενου υπαλλήλου. Η απόσπαση διενεργείται με απόφαση του Δημάρχου της έδρας του νομού, για χρονικό διάστημα ίσο με τη θητεία του Διαμεσολαβητή, κατά παρέκκλιση του ν. 4440/2016 (Α' 224).</w:t>
      </w:r>
      <w:r w:rsidRPr="00665A71">
        <w:rPr>
          <w:rFonts w:ascii="Times New Roman" w:hAnsi="Times New Roman" w:cs="Times New Roman"/>
          <w:color w:val="FF0000"/>
          <w:sz w:val="24"/>
          <w:szCs w:val="24"/>
        </w:rPr>
        <w:t> </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Αρμόδιο υπηρεσιακό συμβούλιο για τα θέματα που αφορούν το προσωπικό του Αυτοτελούς Γραφείου του Δημοτικού Διαμεσολαβητή είναι το Συμβούλιο της υπηρεσίας που υπάγεται οργανικά ο υπάλληλος.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xml:space="preserve">  </w:t>
      </w:r>
      <w:r w:rsidRPr="00665A71">
        <w:rPr>
          <w:rFonts w:ascii="Times New Roman" w:hAnsi="Times New Roman" w:cs="Times New Roman"/>
          <w:sz w:val="24"/>
          <w:szCs w:val="24"/>
        </w:rPr>
        <w:tab/>
        <w:t>Πειθαρχική εξουσία στους υπαλλήλους που υπηρετούν στο Αυτοτελές Γραφείο του Δημοτικού Διαμεσολαβητή για τα πειθαρχικά παραπτώματα που σχετίζονται με την άσκηση των καθηκόντων τους στην υπηρεσία αυτή, ασκούν:</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α) Ο Δημοτικός Διαμεσολαβητής, ως πειθαρχικώς προϊστάμενος αυτών, ο οποίος δύναται να τους επιβάλει την ποινή της έγγραφης επίπληξης και του προστίμου έως και τις αποδοχές τριών (3) μηνών.</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β) Το Πειθαρχικό Συμβούλιο της υπηρεσίας που υπάγεται οργανικά ο υπάλληλος, στο οποίο παραπέμπεται η υπόθεση από τον Δημοτικό Διαμεσολαβητή, όταν αυτός κρίνει ότι το πειθαρχικό παράπτωμα τιμωρείται με ποινή μεγαλύτερη της αρμοδιότητάς του.</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γ) Το Δευτεροβάθμιο Πειθαρχικό Συμβούλιο και ειδικότερα το αρμόδιο για τις πειθαρχικές υποθέσεις του προσωπικού των Ο.Τ.Α. α' βαθμού τμήμα αυτού.</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δ) Ο Γενικός Επιθεωρητής Δημόσιας Διοίκησης.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ε) Το διοικητικό εφετείο.</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στ) Το Συμβούλιο της Επικρατείας.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xml:space="preserve">  </w:t>
      </w:r>
      <w:r w:rsidRPr="00665A71">
        <w:rPr>
          <w:rFonts w:ascii="Times New Roman" w:hAnsi="Times New Roman" w:cs="Times New Roman"/>
          <w:sz w:val="24"/>
          <w:szCs w:val="24"/>
        </w:rPr>
        <w:tab/>
        <w:t>Η δαπάνη μισθοδοσίας των υπαλλήλων που απασχολούνται στο Γραφείο του Δημοτικού Διαμεσολαβητή, η δαπάνη της αντιμισθίας του Δημοτικού Διαμεσολαβητή, καθώς και το λειτουργικό κόστος του Γραφείου του, όπως ενδεικτικά οι δαπάνες για τη στέγαση, τον εξοπλισμό, τη λειτουργία ιστοσελίδας, την έκδοση και δημοσίευση ετήσιας έκθεσης και λοιπών εκθέσεων, το κόστος μετακινήσεων του Διαμεσολαβητή και λοιπές λειτουργικές δαπάνες, βαρύνουν τον προϋπολογισμό του δήμου της έδρας του οικείου νομού, εγγράφονται δε, σε ειδικό προς τούτο κωδικό. Η προϋπολογιζόμενη δαπάνη επιμερίζεται αναλογικά στους δήμους του νομού, με βάση τον πληθυσμό καθενός από αυτούς, παρακρατείται από τους ΚΑΠ που αναλογούν σε αυτούς και αποδίδεται στο Δήμο της πρωτεύουσας από το Υπουργείο Εσωτερικών.</w:t>
      </w:r>
    </w:p>
    <w:p w:rsidR="00FF2120" w:rsidRPr="00665A71" w:rsidRDefault="00FF2120" w:rsidP="00665A71">
      <w:pPr>
        <w:spacing w:line="360" w:lineRule="auto"/>
        <w:ind w:firstLine="720"/>
        <w:jc w:val="both"/>
        <w:rPr>
          <w:rFonts w:ascii="Times New Roman" w:hAnsi="Times New Roman" w:cs="Times New Roman"/>
          <w:sz w:val="24"/>
          <w:szCs w:val="24"/>
        </w:rPr>
      </w:pPr>
      <w:r w:rsidRPr="00665A71">
        <w:rPr>
          <w:rFonts w:ascii="Times New Roman" w:hAnsi="Times New Roman" w:cs="Times New Roman"/>
          <w:sz w:val="24"/>
          <w:szCs w:val="24"/>
        </w:rPr>
        <w:t>Το Γραφείο Διαμεσολαβητή λειτουργεί τις εργάσιμες ημέρες και ώρες και δέχεται καταγγελίες, αναφορές και αιτήσεις πολιτών ηλεκτρονικά, έγγραφα, τηλεφωνικά ή με αυτοπρόσωπη, προφορική έκθεση.</w:t>
      </w:r>
    </w:p>
    <w:p w:rsidR="00FF2120" w:rsidRDefault="00FF2120" w:rsidP="005E0F19">
      <w:pPr>
        <w:spacing w:line="360" w:lineRule="auto"/>
        <w:ind w:firstLine="720"/>
        <w:jc w:val="both"/>
        <w:rPr>
          <w:rFonts w:ascii="Times New Roman" w:hAnsi="Times New Roman" w:cs="Times New Roman"/>
          <w:sz w:val="24"/>
          <w:szCs w:val="24"/>
        </w:rPr>
      </w:pPr>
      <w:r w:rsidRPr="00665A71">
        <w:rPr>
          <w:rFonts w:ascii="Times New Roman" w:hAnsi="Times New Roman" w:cs="Times New Roman"/>
          <w:sz w:val="24"/>
          <w:szCs w:val="24"/>
        </w:rPr>
        <w:t>Ο Διαμεσολαβητής διατηρεί ιστοσελίδα, στην οποία αναρτώνται υποχρεωτικά όλες οι εκθέσεις και τα πορίσματα που εκδίδει, με διασφάλιση της ανωνυμίας των ενδιαφερομένων, καθώς και δυνητικά κάθε άλλη πληροφορία που είναι χρήσιμη για τους διοικούμενους κατά τις συναλλαγές τους με τις υπηρεσίες των πρωτοβάθμιων Ο.Τ.Α. του νομού και των νομικών προσώπων αυτών.</w:t>
      </w:r>
      <w:r>
        <w:rPr>
          <w:rFonts w:ascii="Times New Roman" w:hAnsi="Times New Roman" w:cs="Times New Roman"/>
          <w:sz w:val="24"/>
          <w:szCs w:val="24"/>
        </w:rPr>
        <w:t xml:space="preserve"> </w:t>
      </w:r>
    </w:p>
    <w:p w:rsidR="00FF2120" w:rsidRPr="00665A71" w:rsidRDefault="00FF2120" w:rsidP="005E0F19">
      <w:pPr>
        <w:spacing w:line="360" w:lineRule="auto"/>
        <w:ind w:firstLine="720"/>
        <w:jc w:val="both"/>
        <w:rPr>
          <w:rFonts w:ascii="Times New Roman" w:hAnsi="Times New Roman" w:cs="Times New Roman"/>
          <w:sz w:val="24"/>
          <w:szCs w:val="24"/>
        </w:rPr>
      </w:pPr>
      <w:r w:rsidRPr="00665A71">
        <w:rPr>
          <w:rFonts w:ascii="Times New Roman" w:hAnsi="Times New Roman" w:cs="Times New Roman"/>
          <w:sz w:val="24"/>
          <w:szCs w:val="24"/>
        </w:rPr>
        <w:t> Στην έδρα κάθε Περιφέρειας συστήνεται Αυτοτελές Γραφείο Περιφερειακού Διαμεσολαβητή. Επικεφαλής του οικείου Γραφείου είναι ο Περιφερειακός Διαμεσολαβητής, ο οποίος δεν υπάγεται ιεραρχικά στον Περιφερειάρχη. Το Αυτοτελές Γραφείο Περιφερειακού Διαμεσολαβητή στελεχώνεται με τρεις (3) υπαλλήλους της οικείας Περιφέρειας και των νομικών προσώπων αυτής, δύο (2) εκ των οποίων κατηγορίας ΠΕ και ένας (1) κατηγορίας ΔΕ. Για τον σκοπό αυτό, εντός προθεσμίας δέκα (10) εργάσιμων ημερών από την επιλογή του Περιφερειακού Διαμεσολαβητή, σύμφωνα με το άρθρο 161, ο περιφερειάρχης της οικείας περιφέρειας δημοσιεύει πρόσκληση εκδήλωσης ενδιαφέροντος, η οποία αναρτάται υποχρεωτικά στην ιστοσελίδα της περιφέρειας. Εντός προθεσμίας ενός (1) μηνός από τη δημοσίευση της πρόσκλησης, υποβάλλονται οι δηλώσεις ενδιαφέροντος των ενδιαφερόμενων υπαλλήλων και μέσα σε τρεις (3) εργάσιμες ημέρες από τη λήξη της προθεσμίας αυτής, ο περιφερειάρχης, κοινοποιεί στον Διαμεσολαβητή τις υποβληθείσες δηλώσεις. Ο Διαμεσολαβητής επιλέγει, μεταξύ των ενδιαφερόμενων, τους υπαλλήλους προς απόσπαση, με δήλωσή του, που κοινοποιείται στον Περιφερειάρχη. Η απόσπαση διενεργείται με απόφαση του Περιφερειάρχη, για χρονικό διάστημα ίσο με τη θητεία του Διαμεσολαβητή, κατά παρέκκλιση του ν. 4440/2016. Σε περίπτωση ανανέωσης της θητείας του Διαμεσολαβητή, ανανεώνεται αυτοδίκαια και η απόσπαση του προηγούμενου εδαφίου.</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Αρμόδιο υπηρεσιακό συμβούλιο για τα θέματα που αφορούν το προσωπικό του Αυτοτελούς Γραφείου του Περιφερειακού Διαμεσολαβητή είναι το Συμβούλιο της οικείας Περιφέρειας.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r w:rsidRPr="00665A71">
        <w:rPr>
          <w:rFonts w:ascii="Times New Roman" w:hAnsi="Times New Roman" w:cs="Times New Roman"/>
          <w:sz w:val="24"/>
          <w:szCs w:val="24"/>
        </w:rPr>
        <w:tab/>
        <w:t>Πειθαρχική εξουσία στους υπαλλήλους που υπηρετούν στο Αυτοτελές Γραφείο του Περιφερειακού Διαμεσολαβητή για τα πειθαρχικά παραπτώματα που σχετίζονται με την άσκηση των καθηκόντων τους στην υπηρεσία αυτή, ασκούν:</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α)ο Περιφερειακός Διαμεσολαβητής, ως πειθαρχικός προϊστάμενος αυτών, ο οποίος δύναται να τους επιβάλει την ποινή της έγγραφης επίπληξης και του προστίμου έως και τις αποδοχές τριών (3) μηνών,</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 xml:space="preserve">β) το Πειθαρχικό Συμβούλιο της υπηρεσίας που </w:t>
      </w:r>
      <w:r>
        <w:rPr>
          <w:rFonts w:ascii="Times New Roman" w:hAnsi="Times New Roman" w:cs="Times New Roman"/>
          <w:sz w:val="24"/>
          <w:szCs w:val="24"/>
        </w:rPr>
        <w:t xml:space="preserve">υπάγεται οργανικά ο υπάλληλος, </w:t>
      </w:r>
      <w:r w:rsidRPr="00665A71">
        <w:rPr>
          <w:rFonts w:ascii="Times New Roman" w:hAnsi="Times New Roman" w:cs="Times New Roman"/>
          <w:sz w:val="24"/>
          <w:szCs w:val="24"/>
        </w:rPr>
        <w:t>στο οποίο παραπέμπεται η υπόθεση από τον Περιφερειακό Διαμεσολαβητή , εφόσον αυτός κρίνει ότι το πειθαρχικό παράπτωμα τιμωρείται με ποινή μεγαλύτερη από αυτές που προβλέπονται στην προηγούμενη περίπτωση α',</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 xml:space="preserve"> γ) το Δευτεροβάθμιο Πειθαρχικό Συμβούλιο και ειδικότερα το τμήμα που είναι αρμόδιο για τις πειθαρχικές υποθέσεις του προσωπικού των Ο.Τ.Α. β' βαθμού,</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δ) ο Γενικός Επιθεωρητής Δημόσιας Διοίκησης,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 xml:space="preserve"> ε) το Διοικητικό Εφετείο και</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στ) το Συμβούλιο της Επικρατείας.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Η δαπάνη μισθοδοσίας των υπαλλήλων που απασχολούνται στο Γραφείο του Περιφερειακού Διαμεσολαβητή, η δαπάνη της αντιμισθίας του Περιφερειακού Διαμεσολαβητή, καθώς και το λειτουργικό κόστος του Γραφείου του, όπως ενδεικτικά οι δαπάνες για τη στέγαση, τον εξοπλισμό, τη λειτουργία ιστοσελίδας, την έκδοση και δημοσίευση ετήσιας έκθεσης και λοιπών εκθέσεων, το κόστος μετακινήσεων και λοιπές λειτουργικές δαπάνες, βαρύνουν τον προϋπολογισμό της Περιφέρειας, εγγράφονται δε, σε ειδικό προς τούτο κωδικό.</w:t>
      </w:r>
    </w:p>
    <w:p w:rsidR="00FF2120" w:rsidRPr="00665A71" w:rsidRDefault="00FF2120" w:rsidP="00665A71">
      <w:pPr>
        <w:spacing w:line="360" w:lineRule="auto"/>
        <w:ind w:firstLine="720"/>
        <w:jc w:val="both"/>
        <w:rPr>
          <w:rFonts w:ascii="Times New Roman" w:hAnsi="Times New Roman" w:cs="Times New Roman"/>
          <w:sz w:val="24"/>
          <w:szCs w:val="24"/>
        </w:rPr>
      </w:pPr>
      <w:r w:rsidRPr="00665A71">
        <w:rPr>
          <w:rFonts w:ascii="Times New Roman" w:hAnsi="Times New Roman" w:cs="Times New Roman"/>
          <w:sz w:val="24"/>
          <w:szCs w:val="24"/>
        </w:rPr>
        <w:t> Το Γραφείο Διαμεσολαβητή λειτουργεί τις εργάσιμες ημέρες και ώρες και δέχεται καταγγελίες και αιτήματα πολιτών ηλεκτρονικά, έγγραφα, τηλεφωνικά ή με αυτοπρόσωπη προφορική έκθεση.</w:t>
      </w:r>
    </w:p>
    <w:p w:rsidR="00FF2120" w:rsidRPr="00665A71" w:rsidRDefault="00FF2120" w:rsidP="00665A71">
      <w:pPr>
        <w:spacing w:line="360" w:lineRule="auto"/>
        <w:ind w:firstLine="720"/>
        <w:jc w:val="both"/>
        <w:rPr>
          <w:rFonts w:ascii="Times New Roman" w:hAnsi="Times New Roman" w:cs="Times New Roman"/>
          <w:sz w:val="24"/>
          <w:szCs w:val="24"/>
        </w:rPr>
      </w:pPr>
      <w:r w:rsidRPr="00665A71">
        <w:rPr>
          <w:rFonts w:ascii="Times New Roman" w:hAnsi="Times New Roman" w:cs="Times New Roman"/>
          <w:sz w:val="24"/>
          <w:szCs w:val="24"/>
        </w:rPr>
        <w:t> Ο Διαμεσολαβητής διατηρεί ιστοσελίδα, στην οποία αναρτώνται υποχρεωτικά όλες οι εκθέσεις και τα πορίσματα που εκδίδει, με διασφάλιση της ανωνυμίας των ενδιαφερομένων, καθώς και δυνητικά κάθε άλλη πληροφορία που είναι χρήσιμη για τους διοικούμενους κατά τις συναλλαγές τους με τις υπηρεσίες της οικείας Περιφέρειας και των νομικών προσώπων αυτής.</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w:t>
      </w:r>
    </w:p>
    <w:p w:rsidR="00FF2120" w:rsidRPr="00665A71" w:rsidRDefault="00FF2120" w:rsidP="00665A71">
      <w:pPr>
        <w:pStyle w:val="Heading1"/>
        <w:spacing w:line="360" w:lineRule="auto"/>
        <w:jc w:val="both"/>
        <w:rPr>
          <w:rFonts w:ascii="Times New Roman" w:hAnsi="Times New Roman"/>
          <w:sz w:val="24"/>
          <w:szCs w:val="24"/>
        </w:rPr>
      </w:pPr>
      <w:bookmarkStart w:id="0" w:name="_Toc524299877"/>
      <w:r w:rsidRPr="00665A71">
        <w:rPr>
          <w:rFonts w:ascii="Times New Roman" w:hAnsi="Times New Roman"/>
          <w:sz w:val="24"/>
          <w:szCs w:val="24"/>
        </w:rPr>
        <w:t>Εθνικό Συμβούλιο Τοπικών Διαμεσολαβητών</w:t>
      </w:r>
      <w:bookmarkEnd w:id="0"/>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b/>
          <w:sz w:val="24"/>
          <w:szCs w:val="24"/>
        </w:rPr>
        <w:t> </w:t>
      </w:r>
      <w:r w:rsidRPr="00665A71">
        <w:rPr>
          <w:rFonts w:ascii="Times New Roman" w:hAnsi="Times New Roman" w:cs="Times New Roman"/>
          <w:sz w:val="24"/>
          <w:szCs w:val="24"/>
        </w:rPr>
        <w:t>Συνιστάται στο Υπουργείο Εσωτερικών, ως εθνικός συντονιστικός και γνωμοδοτικός φορέας σε θέματα τοπικής και περιφερειακής διαμεσολάβησης, Εθνικό Συμβούλιο Διαμεσολαβητών.</w:t>
      </w:r>
      <w:r>
        <w:rPr>
          <w:rFonts w:ascii="Times New Roman" w:hAnsi="Times New Roman" w:cs="Times New Roman"/>
          <w:sz w:val="24"/>
          <w:szCs w:val="24"/>
        </w:rPr>
        <w:t xml:space="preserve"> </w:t>
      </w:r>
      <w:r w:rsidRPr="00665A71">
        <w:rPr>
          <w:rFonts w:ascii="Times New Roman" w:hAnsi="Times New Roman" w:cs="Times New Roman"/>
          <w:sz w:val="24"/>
          <w:szCs w:val="24"/>
        </w:rPr>
        <w:t>Η Ολομέλεια του Συμβουλίου αποτελείται από τον Υπουργό Εσωτερικών ως πρόεδρο, τον αρμόδιο Γενικό Διευθυντή του Υπουργείου Εσωτερικών και το σύνολο των Δημοτικών και Περιφερειακών Διαμεσολαβητών που υπηρετούν κάθε δεδομένη στιγμή.</w:t>
      </w:r>
    </w:p>
    <w:p w:rsidR="00FF2120" w:rsidRPr="005E0F19"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Το Εθνικό Συμβούλιο Διαμεσολαβητών είναι αρμόδιο για:</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α) το συντονισμό και την προαγωγή της συνεργασίας και της συναντίληψης μεταξύ των Δημοτικών και Περιφερειακών Διαμεσολαβητών, με στόχο την όσο το δυνατόν πιο ομοιόμορφη αντιμετώπιση αντίστοιχων προβλημάτων,</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β) τη διατύπωση προτάσεων και εισηγήσεων προς το αρμόδιο Υπουργείο σχετικά με την τροποποίηση και βελτίωση του θεσμικού πλαισίου για τον Δημοτικό και Περιφερειακό Διαμεσολαβητή,</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γ) τη διατύπωση απόψεων σχετικά με όλα τα ζητήματα που αφορούν τη βελτίωση της οργάνωσης και της λειτουργίας της Τοπικής Αυτοδιοίκησης, εφόσον του ζητηθεί ή κάθε φορά που το κρίνει σκόπιμο,</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δ) την προαγωγή του θεσμού της τοπικής και περιφερειακής διαμεσολάβησης και την ανάληψη πρωτοβουλιών για την ενημέρωση του κοινού,</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 xml:space="preserve"> ε) τη συνεργασία με το αρμόδιο Υπουργείο, καθώς και με όλους τους συναρμόδιους φορείς, όπως το Συνήγορο του Πολίτη, τον Γενικό Επιθεωρητή Δημόσιας Διοίκησης και λοιπά ελεγκτικά σώματα της Διοίκησης, τον Επόπτη Ο.Τ.Α., την ΚΕΔΕ, την ΕΝΠΕ και φορείς συνδικαλιστικής εκπροσώπησης εργαζομένων στους Ο.Τ.Α.</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Η Ολομέλεια του Συμβουλίου εκλέγει: α) Τον Πρόεδρο και τα μέλη της Συντονιστικής Επιτροπής του. Στη Συντονιστική Επιτροπή μετέχει υποχρεωτικά τουλάχιστον ένας (1) εκπρόσωπος από κάθε κατηγορία Διαμεσολαβητών (Δημοτικών και Περιφερειακών).</w:t>
      </w:r>
      <w:r>
        <w:rPr>
          <w:rFonts w:ascii="Times New Roman" w:hAnsi="Times New Roman" w:cs="Times New Roman"/>
          <w:sz w:val="24"/>
          <w:szCs w:val="24"/>
        </w:rPr>
        <w:t xml:space="preserve"> </w:t>
      </w:r>
      <w:r w:rsidRPr="00665A71">
        <w:rPr>
          <w:rFonts w:ascii="Times New Roman" w:hAnsi="Times New Roman" w:cs="Times New Roman"/>
          <w:sz w:val="24"/>
          <w:szCs w:val="24"/>
        </w:rPr>
        <w:t>β) Τους εκπροσώπους των Διαμεσολαβητών στην ειδική επιτροπή της παραγράφου 3 του άρθρου 162.</w:t>
      </w:r>
    </w:p>
    <w:p w:rsidR="00FF2120" w:rsidRPr="00665A71" w:rsidRDefault="00FF2120" w:rsidP="00665A71">
      <w:pPr>
        <w:spacing w:line="360" w:lineRule="auto"/>
        <w:ind w:firstLine="720"/>
        <w:jc w:val="both"/>
        <w:rPr>
          <w:rFonts w:ascii="Times New Roman" w:hAnsi="Times New Roman" w:cs="Times New Roman"/>
          <w:sz w:val="24"/>
          <w:szCs w:val="24"/>
        </w:rPr>
      </w:pPr>
      <w:r w:rsidRPr="00665A71">
        <w:rPr>
          <w:rFonts w:ascii="Times New Roman" w:hAnsi="Times New Roman" w:cs="Times New Roman"/>
          <w:sz w:val="24"/>
          <w:szCs w:val="24"/>
        </w:rPr>
        <w:t> Η Ολομέλεια του Συμβουλίου συνέρχεται κατ' ελάχιστο δύο (2) φορές το χρόνο ή όποτε κριθεί απαραίτητο ή ζητηθεί από το ένα τρίτο (1/3) των μελών του ή από τον Υπουργό Εσωτερικών. Στο Συμβούλιο δύναται να καλείται και να παρίσταται και ο Συνήγορος του Πολίτη.</w:t>
      </w:r>
    </w:p>
    <w:p w:rsidR="00FF2120" w:rsidRPr="00665A71" w:rsidRDefault="00FF2120" w:rsidP="00665A71">
      <w:pPr>
        <w:spacing w:line="360" w:lineRule="auto"/>
        <w:ind w:firstLine="720"/>
        <w:jc w:val="both"/>
        <w:rPr>
          <w:rFonts w:ascii="Times New Roman" w:hAnsi="Times New Roman" w:cs="Times New Roman"/>
          <w:sz w:val="24"/>
          <w:szCs w:val="24"/>
        </w:rPr>
      </w:pPr>
      <w:r w:rsidRPr="00665A71">
        <w:rPr>
          <w:rFonts w:ascii="Times New Roman" w:hAnsi="Times New Roman" w:cs="Times New Roman"/>
          <w:sz w:val="24"/>
          <w:szCs w:val="24"/>
        </w:rPr>
        <w:t> Όλες οι αποφάσεις, εκθέσεις και εισηγήσεις του Εθνικού Συμβουλίου Διαμεσολαβητών υποβάλλονται στον Υπουργό Εσωτερικών και κοινοποιούνται στο Συνήγορο του Πολίτη.</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xml:space="preserve">  </w:t>
      </w:r>
      <w:r w:rsidRPr="00665A71">
        <w:rPr>
          <w:rFonts w:ascii="Times New Roman" w:hAnsi="Times New Roman" w:cs="Times New Roman"/>
          <w:sz w:val="24"/>
          <w:szCs w:val="24"/>
        </w:rPr>
        <w:tab/>
        <w:t>Το Συμβούλιο υποστηρίζεται διοικητικά από τη Διεύθυνση Οργάνωσης και Λειτουργίας Τοπικής Αυτοδιοίκησης του Υπουργείου Εσωτερικών.</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 Ο Δημοτικός και ο Περιφερειακός Διαμεσολαβητής συνεργάζεται με όλες τις αρχές που είναι αρμόδιες για την προστασία των δικαιωμάτων των πολιτών και τον έλεγχο της νόμιμης δράσης των Ο.Τ.Α., σύμφωνα με την εκάστοτε ισχύουσα νομοθεσία, χωρίς να θίγονται οι εκατέρωθεν αρμοδιότητες.</w:t>
      </w:r>
      <w:r>
        <w:rPr>
          <w:rFonts w:ascii="Times New Roman" w:hAnsi="Times New Roman" w:cs="Times New Roman"/>
          <w:sz w:val="24"/>
          <w:szCs w:val="24"/>
        </w:rPr>
        <w:t xml:space="preserve"> </w:t>
      </w:r>
      <w:r w:rsidRPr="00665A71">
        <w:rPr>
          <w:rFonts w:ascii="Times New Roman" w:hAnsi="Times New Roman" w:cs="Times New Roman"/>
          <w:sz w:val="24"/>
          <w:szCs w:val="24"/>
        </w:rPr>
        <w:t>Ο Δημοτικός και ο Περιφερειακός Διαμεσολαβητής είναι ανεξάρτητος από το Συνήγορο του Πολίτη, η δε άσκηση των αρμοδιοτήτων του Διαμεσολαβητή δεν θίγει τις αρμοδιότητες του Συνηγόρου του Πολίτη ως ανεξάρτητης και συνταγματικά κατοχυρωμένης αρχής.</w:t>
      </w:r>
      <w:r>
        <w:rPr>
          <w:rFonts w:ascii="Times New Roman" w:hAnsi="Times New Roman" w:cs="Times New Roman"/>
          <w:sz w:val="24"/>
          <w:szCs w:val="24"/>
        </w:rPr>
        <w:t xml:space="preserve"> Υ</w:t>
      </w:r>
      <w:r w:rsidRPr="00665A71">
        <w:rPr>
          <w:rFonts w:ascii="Times New Roman" w:hAnsi="Times New Roman" w:cs="Times New Roman"/>
          <w:sz w:val="24"/>
          <w:szCs w:val="24"/>
        </w:rPr>
        <w:t>ποχρεούται να κοινοποιεί την ετήσια έκθεσή του στον Συνήγορο του Πολίτη</w:t>
      </w:r>
      <w:r>
        <w:rPr>
          <w:rFonts w:ascii="Times New Roman" w:hAnsi="Times New Roman" w:cs="Times New Roman"/>
          <w:sz w:val="24"/>
          <w:szCs w:val="24"/>
        </w:rPr>
        <w:t xml:space="preserve"> και να</w:t>
      </w:r>
      <w:r w:rsidRPr="00665A71">
        <w:rPr>
          <w:rFonts w:ascii="Times New Roman" w:hAnsi="Times New Roman" w:cs="Times New Roman"/>
          <w:sz w:val="24"/>
          <w:szCs w:val="24"/>
        </w:rPr>
        <w:t xml:space="preserve"> συνεργάζετα</w:t>
      </w:r>
      <w:r>
        <w:rPr>
          <w:rFonts w:ascii="Times New Roman" w:hAnsi="Times New Roman" w:cs="Times New Roman"/>
          <w:sz w:val="24"/>
          <w:szCs w:val="24"/>
        </w:rPr>
        <w:t xml:space="preserve">ι με το Συνήγορο του Πολίτη, </w:t>
      </w:r>
      <w:r w:rsidRPr="00665A71">
        <w:rPr>
          <w:rFonts w:ascii="Times New Roman" w:hAnsi="Times New Roman" w:cs="Times New Roman"/>
          <w:sz w:val="24"/>
          <w:szCs w:val="24"/>
        </w:rPr>
        <w:t xml:space="preserve">να του παρέχει </w:t>
      </w:r>
      <w:r>
        <w:rPr>
          <w:rFonts w:ascii="Times New Roman" w:hAnsi="Times New Roman" w:cs="Times New Roman"/>
          <w:sz w:val="24"/>
          <w:szCs w:val="24"/>
        </w:rPr>
        <w:t xml:space="preserve">δε, </w:t>
      </w:r>
      <w:r w:rsidRPr="00665A71">
        <w:rPr>
          <w:rFonts w:ascii="Times New Roman" w:hAnsi="Times New Roman" w:cs="Times New Roman"/>
          <w:sz w:val="24"/>
          <w:szCs w:val="24"/>
        </w:rPr>
        <w:t>την αναγκαία συνδρομή για υποθέσεις που χειρίζεται και για ενέργειες που απαιτούν εγγύτητα ή αμεσότητα.</w:t>
      </w:r>
      <w:r>
        <w:rPr>
          <w:rFonts w:ascii="Times New Roman" w:hAnsi="Times New Roman" w:cs="Times New Roman"/>
          <w:sz w:val="24"/>
          <w:szCs w:val="24"/>
        </w:rPr>
        <w:t xml:space="preserve"> Δικαιούται </w:t>
      </w:r>
      <w:r w:rsidRPr="00665A71">
        <w:rPr>
          <w:rFonts w:ascii="Times New Roman" w:hAnsi="Times New Roman" w:cs="Times New Roman"/>
          <w:sz w:val="24"/>
          <w:szCs w:val="24"/>
        </w:rPr>
        <w:t>να υποβάλλει ερωτήματα και να ζητεί τις απόψεις του Συνηγόρου του Πολίτη για το χειρισμό υπόθεσης που εκκρεμεί ενώπιόν του, εφόσον κρίνει αιτιολογημένα ότι αυτή έχει κεντρικό χαρακτήρα ή ευρύτερο ενδιαφέρον.</w:t>
      </w:r>
    </w:p>
    <w:p w:rsidR="00FF2120" w:rsidRPr="00665A71" w:rsidRDefault="00FF2120" w:rsidP="00665A71">
      <w:pPr>
        <w:spacing w:line="360" w:lineRule="auto"/>
        <w:jc w:val="both"/>
        <w:rPr>
          <w:rFonts w:ascii="Times New Roman" w:hAnsi="Times New Roman" w:cs="Times New Roman"/>
          <w:sz w:val="24"/>
          <w:szCs w:val="24"/>
        </w:rPr>
      </w:pPr>
      <w:r w:rsidRPr="00665A71">
        <w:rPr>
          <w:rFonts w:ascii="Times New Roman" w:hAnsi="Times New Roman" w:cs="Times New Roman"/>
          <w:sz w:val="24"/>
          <w:szCs w:val="24"/>
        </w:rPr>
        <w:tab/>
        <w:t xml:space="preserve"> </w:t>
      </w:r>
    </w:p>
    <w:p w:rsidR="00FF2120" w:rsidRPr="00665A71" w:rsidRDefault="00FF2120" w:rsidP="00665A71">
      <w:pPr>
        <w:spacing w:line="360" w:lineRule="auto"/>
        <w:jc w:val="both"/>
        <w:rPr>
          <w:rFonts w:ascii="Times New Roman" w:hAnsi="Times New Roman" w:cs="Times New Roman"/>
          <w:sz w:val="24"/>
          <w:szCs w:val="24"/>
        </w:rPr>
      </w:pPr>
    </w:p>
    <w:p w:rsidR="00FF2120" w:rsidRPr="007F3003" w:rsidRDefault="00FF2120" w:rsidP="00665A71">
      <w:pPr>
        <w:spacing w:line="360" w:lineRule="auto"/>
        <w:jc w:val="both"/>
        <w:rPr>
          <w:rFonts w:ascii="Times New Roman" w:hAnsi="Times New Roman" w:cs="Times New Roman"/>
          <w:b/>
          <w:sz w:val="24"/>
          <w:szCs w:val="24"/>
        </w:rPr>
      </w:pPr>
      <w:r w:rsidRPr="00665A71">
        <w:rPr>
          <w:rFonts w:ascii="Times New Roman" w:hAnsi="Times New Roman" w:cs="Times New Roman"/>
          <w:sz w:val="24"/>
          <w:szCs w:val="24"/>
        </w:rPr>
        <w:br w:type="page"/>
      </w:r>
      <w:r w:rsidRPr="007F3003">
        <w:rPr>
          <w:rFonts w:ascii="Times New Roman" w:hAnsi="Times New Roman" w:cs="Times New Roman"/>
          <w:b/>
          <w:sz w:val="24"/>
          <w:szCs w:val="24"/>
        </w:rPr>
        <w:t>Διοικητική Εποπτεία</w:t>
      </w:r>
    </w:p>
    <w:p w:rsidR="00FF2120" w:rsidRPr="00813266" w:rsidRDefault="00FF2120" w:rsidP="00FD6113">
      <w:pPr>
        <w:ind w:left="-540" w:right="288" w:firstLine="540"/>
        <w:jc w:val="both"/>
        <w:rPr>
          <w:rFonts w:cs="Calibri"/>
        </w:rPr>
      </w:pPr>
    </w:p>
    <w:p w:rsidR="00FF2120" w:rsidRPr="00813266" w:rsidRDefault="00FF2120" w:rsidP="00FD6113">
      <w:pPr>
        <w:ind w:left="-540" w:right="288" w:firstLine="540"/>
        <w:jc w:val="both"/>
        <w:rPr>
          <w:rFonts w:cs="Calibri"/>
        </w:rPr>
      </w:pPr>
    </w:p>
    <w:p w:rsidR="00FF2120" w:rsidRDefault="00FF2120" w:rsidP="00FD6113">
      <w:pPr>
        <w:ind w:left="-540" w:right="288" w:firstLine="540"/>
        <w:jc w:val="both"/>
      </w:pPr>
      <w:bookmarkStart w:id="1" w:name="_Toc432517509"/>
      <w:bookmarkStart w:id="2" w:name="_Toc464630378"/>
      <w:bookmarkStart w:id="3" w:name="_Toc464637387"/>
    </w:p>
    <w:bookmarkEnd w:id="1"/>
    <w:bookmarkEnd w:id="2"/>
    <w:bookmarkEnd w:id="3"/>
    <w:p w:rsidR="00FF2120" w:rsidRPr="00775A78" w:rsidRDefault="00FF2120" w:rsidP="00FD6113">
      <w:pPr>
        <w:jc w:val="both"/>
        <w:rPr>
          <w:rFonts w:cs="Calibri"/>
          <w:b/>
        </w:rPr>
      </w:pPr>
    </w:p>
    <w:p w:rsidR="00FF2120" w:rsidRPr="00775A78" w:rsidRDefault="00FF2120" w:rsidP="00FD6113">
      <w:pPr>
        <w:ind w:left="-540" w:right="288" w:firstLine="540"/>
        <w:jc w:val="both"/>
        <w:rPr>
          <w:rFonts w:cs="Calibri"/>
          <w:b/>
        </w:rPr>
      </w:pPr>
    </w:p>
    <w:p w:rsidR="00FF2120" w:rsidRPr="003628AE" w:rsidRDefault="00FF2120" w:rsidP="007F3003">
      <w:pPr>
        <w:overflowPunct w:val="0"/>
        <w:spacing w:line="360" w:lineRule="auto"/>
        <w:ind w:firstLine="567"/>
        <w:jc w:val="both"/>
        <w:textAlignment w:val="baseline"/>
        <w:rPr>
          <w:rFonts w:ascii="Times New Roman" w:hAnsi="Times New Roman" w:cs="Times New Roman"/>
          <w:sz w:val="24"/>
          <w:szCs w:val="24"/>
        </w:rPr>
      </w:pPr>
      <w:r w:rsidRPr="003628AE">
        <w:rPr>
          <w:rFonts w:ascii="Times New Roman" w:hAnsi="Times New Roman" w:cs="Times New Roman"/>
          <w:sz w:val="24"/>
          <w:szCs w:val="24"/>
        </w:rPr>
        <w:t>Η διοικητική αυτοτέλεια της τοπικής αυτοδιοίκησης αποτελεί συνταγματική κατοχύρωση ήδη από του Συντάγματος του 1927, στο οποίο προβλέπεται ότι, το Κράτος ασκεί μόνο ανωτάτη εποπτεία επί των ΟΤΑ, χωρίς να εμποδίζεται η πρωτοβουλία και η ελεύθερη δράση τους(άρθρο 107).</w:t>
      </w:r>
    </w:p>
    <w:p w:rsidR="00FF2120" w:rsidRPr="003628AE" w:rsidRDefault="00FF2120" w:rsidP="007F3003">
      <w:pPr>
        <w:overflowPunct w:val="0"/>
        <w:spacing w:line="360" w:lineRule="auto"/>
        <w:ind w:firstLine="567"/>
        <w:jc w:val="both"/>
        <w:textAlignment w:val="baseline"/>
        <w:rPr>
          <w:rFonts w:ascii="Times New Roman" w:hAnsi="Times New Roman" w:cs="Times New Roman"/>
          <w:sz w:val="24"/>
          <w:szCs w:val="24"/>
        </w:rPr>
      </w:pPr>
      <w:r w:rsidRPr="003628AE">
        <w:rPr>
          <w:rFonts w:ascii="Times New Roman" w:hAnsi="Times New Roman" w:cs="Times New Roman"/>
          <w:sz w:val="24"/>
          <w:szCs w:val="24"/>
        </w:rPr>
        <w:t>Το Σύνταγμα του 1975 επαναλαμβάνει τη διάταξη περί της εποπτείας επί των ΟΤΑ στο άρθρο 102, στην αναθεωρημένη δε, διάταξη του 2001, εξειδικεύεται η εποπτεία, η οποία συνίσταται αποκλειστικά στον έλεγχο νομιμότητας.</w:t>
      </w:r>
    </w:p>
    <w:p w:rsidR="00FF2120" w:rsidRPr="00265F82" w:rsidRDefault="00FF2120" w:rsidP="00BF1B46">
      <w:pPr>
        <w:overflowPunct w:val="0"/>
        <w:spacing w:line="360" w:lineRule="auto"/>
        <w:jc w:val="both"/>
        <w:textAlignment w:val="baseline"/>
        <w:rPr>
          <w:rFonts w:ascii="Times New Roman" w:hAnsi="Times New Roman" w:cs="Times New Roman"/>
          <w:sz w:val="24"/>
          <w:szCs w:val="24"/>
        </w:rPr>
      </w:pPr>
      <w:r w:rsidRPr="00265F82">
        <w:rPr>
          <w:rFonts w:ascii="Times New Roman" w:hAnsi="Times New Roman" w:cs="Times New Roman"/>
          <w:sz w:val="24"/>
          <w:szCs w:val="24"/>
        </w:rPr>
        <w:t>Γενικά, η άσκηση διοικητικής εποπτείας επί πράξεων των ΟΤΑ, προσδιορίζει σε σημαντικό βαθμό την αυτονομία δράσης τους. Είναι χαρακτηριστικό ότι μέχρι και τις αρχές της δεκαετίας του 1980</w:t>
      </w:r>
      <w:r w:rsidRPr="00265F82">
        <w:rPr>
          <w:rStyle w:val="FootnoteReference"/>
          <w:rFonts w:ascii="Times New Roman" w:hAnsi="Times New Roman"/>
          <w:sz w:val="24"/>
          <w:szCs w:val="24"/>
        </w:rPr>
        <w:footnoteReference w:id="23"/>
      </w:r>
      <w:r w:rsidRPr="00265F82">
        <w:rPr>
          <w:rFonts w:ascii="Times New Roman" w:hAnsi="Times New Roman" w:cs="Times New Roman"/>
          <w:sz w:val="24"/>
          <w:szCs w:val="24"/>
        </w:rPr>
        <w:t xml:space="preserve"> η μορφή άσκησής της από το κεντρικό κράτος έπαιρνε διττή μορφή: αφ’ ενός ελέγχου νομιμότητας των πράξεων ή και παραλείψεων των ΟΤΑ και, αφ’ ετέρου, ελέγχου σκοπιμότητας. Με τη δεύτερη μορφή ελέγχου, το διοικητικό «κέντρο» προχωρούσε σε έλεγχο του σκοπού που εξυπηρετούσαν οι πράξεις του αυτοδιοικητικού οργάνου, περιορίζοντας τους βαθμούς ελευθερίας της (αυτο)διοίκησης και θέτοντας υπό την έγκρισή του κάθε πρωτοβουλία που αναπτυσσόταν στο τοπικό επίπεδο, ακόμη και αναπτυξιακού χαρακτήρα. Περαιτέρω, «μαρτυρούσε» το σημείο ισορροπίας των σχέσεων κέντρου – περιφέρειας το οποίο καταφανώς ευνοούσε με όρους ισχύος το κέντρο. Το εύρος και το βάθος της εποπτείας και ιδιαίτερα ο έλεγχος σκοπιμότητας περιορίστηκαν σημαντικά κατά τη διάρκεια της δεκαετίας του 1980, ενώ το 1994 ο έλεγχος σκοπιμότητας καταργήθηκε</w:t>
      </w:r>
      <w:r w:rsidRPr="00265F82">
        <w:rPr>
          <w:rFonts w:ascii="Times New Roman" w:hAnsi="Times New Roman" w:cs="Times New Roman"/>
          <w:sz w:val="24"/>
          <w:szCs w:val="24"/>
          <w:vertAlign w:val="superscript"/>
        </w:rPr>
        <w:footnoteReference w:id="24"/>
      </w:r>
      <w:r w:rsidRPr="00265F82">
        <w:rPr>
          <w:rFonts w:ascii="Times New Roman" w:hAnsi="Times New Roman" w:cs="Times New Roman"/>
          <w:sz w:val="24"/>
          <w:szCs w:val="24"/>
        </w:rPr>
        <w:t>.</w:t>
      </w:r>
    </w:p>
    <w:p w:rsidR="00FF2120" w:rsidRPr="00265F82" w:rsidRDefault="00FF2120" w:rsidP="00BF1B46">
      <w:pPr>
        <w:overflowPunct w:val="0"/>
        <w:spacing w:line="360" w:lineRule="auto"/>
        <w:jc w:val="both"/>
        <w:textAlignment w:val="baseline"/>
        <w:rPr>
          <w:rFonts w:ascii="Times New Roman" w:hAnsi="Times New Roman" w:cs="Times New Roman"/>
          <w:sz w:val="24"/>
          <w:szCs w:val="24"/>
        </w:rPr>
      </w:pPr>
    </w:p>
    <w:p w:rsidR="00FF2120" w:rsidRPr="00265F82" w:rsidRDefault="00FF2120" w:rsidP="00BF1B46">
      <w:pPr>
        <w:overflowPunct w:val="0"/>
        <w:spacing w:line="360" w:lineRule="auto"/>
        <w:jc w:val="both"/>
        <w:textAlignment w:val="baseline"/>
        <w:rPr>
          <w:rFonts w:ascii="Times New Roman" w:hAnsi="Times New Roman" w:cs="Times New Roman"/>
          <w:b/>
          <w:bCs/>
          <w:sz w:val="24"/>
          <w:szCs w:val="24"/>
        </w:rPr>
      </w:pPr>
      <w:bookmarkStart w:id="4" w:name="_Toc483994724"/>
      <w:r w:rsidRPr="00265F82">
        <w:rPr>
          <w:rFonts w:ascii="Times New Roman" w:hAnsi="Times New Roman" w:cs="Times New Roman"/>
          <w:b/>
          <w:bCs/>
          <w:sz w:val="24"/>
          <w:szCs w:val="24"/>
        </w:rPr>
        <w:t>Πλαίσιο άσκησης εποπτείας</w:t>
      </w:r>
      <w:bookmarkEnd w:id="4"/>
    </w:p>
    <w:p w:rsidR="00FF2120" w:rsidRPr="00265F82" w:rsidRDefault="00FF2120" w:rsidP="00BF1B46">
      <w:pPr>
        <w:overflowPunct w:val="0"/>
        <w:spacing w:line="360" w:lineRule="auto"/>
        <w:jc w:val="both"/>
        <w:textAlignment w:val="baseline"/>
        <w:rPr>
          <w:rFonts w:ascii="Times New Roman" w:hAnsi="Times New Roman" w:cs="Times New Roman"/>
          <w:b/>
          <w:bCs/>
          <w:sz w:val="24"/>
          <w:szCs w:val="24"/>
        </w:rPr>
      </w:pPr>
    </w:p>
    <w:p w:rsidR="00FF2120" w:rsidRPr="00265F82" w:rsidRDefault="00FF2120" w:rsidP="00BF1B46">
      <w:pPr>
        <w:overflowPunct w:val="0"/>
        <w:spacing w:line="360" w:lineRule="auto"/>
        <w:jc w:val="both"/>
        <w:textAlignment w:val="baseline"/>
        <w:rPr>
          <w:rFonts w:ascii="Times New Roman" w:hAnsi="Times New Roman" w:cs="Times New Roman"/>
          <w:sz w:val="24"/>
          <w:szCs w:val="24"/>
        </w:rPr>
      </w:pPr>
      <w:r w:rsidRPr="00265F82">
        <w:rPr>
          <w:rFonts w:ascii="Times New Roman" w:hAnsi="Times New Roman" w:cs="Times New Roman"/>
          <w:sz w:val="24"/>
          <w:szCs w:val="24"/>
        </w:rPr>
        <w:t>Στο πλαίσιο της διατήρησης της ενότητας της δημόσιας διοίκησης, του ενιαίου τρόπου άσκησης διοίκησης καθώς και της τήρησης του κράτους δικαίου και προάσπισης του δημοσίου συμφέροντος, τα όργανα του κράτους</w:t>
      </w:r>
      <w:r w:rsidRPr="00265F82">
        <w:rPr>
          <w:rFonts w:ascii="Times New Roman" w:hAnsi="Times New Roman" w:cs="Times New Roman"/>
          <w:sz w:val="24"/>
          <w:szCs w:val="24"/>
          <w:vertAlign w:val="superscript"/>
        </w:rPr>
        <w:footnoteReference w:id="25"/>
      </w:r>
      <w:r w:rsidRPr="00265F82">
        <w:rPr>
          <w:rFonts w:ascii="Times New Roman" w:hAnsi="Times New Roman" w:cs="Times New Roman"/>
          <w:sz w:val="24"/>
          <w:szCs w:val="24"/>
        </w:rPr>
        <w:t xml:space="preserve"> ασκούν διοικητική εποπτεία  σε άλλα δημόσια νομικά πρόσωπα, όπως είναι οι ΟΤΑ</w:t>
      </w:r>
      <w:r w:rsidRPr="00265F82">
        <w:rPr>
          <w:rFonts w:ascii="Times New Roman" w:hAnsi="Times New Roman" w:cs="Times New Roman"/>
          <w:sz w:val="24"/>
          <w:szCs w:val="24"/>
          <w:vertAlign w:val="superscript"/>
        </w:rPr>
        <w:footnoteReference w:id="26"/>
      </w:r>
      <w:r w:rsidRPr="00265F82">
        <w:rPr>
          <w:rFonts w:ascii="Times New Roman" w:hAnsi="Times New Roman" w:cs="Times New Roman"/>
          <w:sz w:val="24"/>
          <w:szCs w:val="24"/>
        </w:rPr>
        <w:t>. Σύμφωνα με τον Σπηλιωτόπουλο (2002, σσ. 266-267) η διοικητική εποπτεία βασίζεται στην ανάγκη τήρησης της ενιαίας οργανωτικής μορφής του κράτους και υποδηλώνει την επέμβαση αρμοδίων οργάνων του κράτους στη λειτουργία δημόσιων νομικών προσώπων, με σκοπό την υλοποίηση της κυβερνητικής πολιτικής, την παρακολούθηση της εφαρμογής των σκοπών που τους έχουν ανατεθεί, τη συμμόρφωση με το ισχύον νομικό πλαίσιο και την προστασία του δημόσιου συμφέροντος</w:t>
      </w:r>
      <w:r w:rsidRPr="00265F82">
        <w:rPr>
          <w:rFonts w:ascii="Times New Roman" w:hAnsi="Times New Roman" w:cs="Times New Roman"/>
          <w:sz w:val="24"/>
          <w:szCs w:val="24"/>
          <w:vertAlign w:val="superscript"/>
        </w:rPr>
        <w:footnoteReference w:id="27"/>
      </w:r>
      <w:r w:rsidRPr="00265F82">
        <w:rPr>
          <w:rFonts w:ascii="Times New Roman" w:hAnsi="Times New Roman" w:cs="Times New Roman"/>
          <w:sz w:val="24"/>
          <w:szCs w:val="24"/>
        </w:rPr>
        <w:t>. Ο επεμβατικός χαρακτήρας της εποπτείας του κράτους ρυθμίζεται από τους κανόνες του διοικητικού δικαίου (</w:t>
      </w:r>
      <w:r w:rsidRPr="00265F82">
        <w:rPr>
          <w:rFonts w:ascii="Times New Roman" w:hAnsi="Times New Roman" w:cs="Times New Roman"/>
          <w:sz w:val="24"/>
          <w:szCs w:val="24"/>
          <w:lang w:val="en-US"/>
        </w:rPr>
        <w:t>ibid</w:t>
      </w:r>
      <w:r w:rsidRPr="00265F82">
        <w:rPr>
          <w:rFonts w:ascii="Times New Roman" w:hAnsi="Times New Roman" w:cs="Times New Roman"/>
          <w:sz w:val="24"/>
          <w:szCs w:val="24"/>
        </w:rPr>
        <w:t>., σ. 267)</w:t>
      </w:r>
      <w:r w:rsidRPr="00265F82">
        <w:rPr>
          <w:rFonts w:ascii="Times New Roman" w:hAnsi="Times New Roman" w:cs="Times New Roman"/>
          <w:sz w:val="24"/>
          <w:szCs w:val="24"/>
          <w:vertAlign w:val="superscript"/>
        </w:rPr>
        <w:footnoteReference w:id="28"/>
      </w:r>
      <w:r w:rsidRPr="00265F82">
        <w:rPr>
          <w:rFonts w:ascii="Times New Roman" w:hAnsi="Times New Roman" w:cs="Times New Roman"/>
          <w:sz w:val="24"/>
          <w:szCs w:val="24"/>
        </w:rPr>
        <w:t xml:space="preserve">. </w:t>
      </w:r>
    </w:p>
    <w:p w:rsidR="00FF2120" w:rsidRPr="00265F82" w:rsidRDefault="00FF2120" w:rsidP="00BF1B46">
      <w:pPr>
        <w:overflowPunct w:val="0"/>
        <w:spacing w:line="360" w:lineRule="auto"/>
        <w:jc w:val="both"/>
        <w:textAlignment w:val="baseline"/>
        <w:rPr>
          <w:rFonts w:ascii="Times New Roman" w:hAnsi="Times New Roman" w:cs="Times New Roman"/>
          <w:sz w:val="24"/>
          <w:szCs w:val="24"/>
        </w:rPr>
      </w:pPr>
    </w:p>
    <w:p w:rsidR="00FF2120" w:rsidRPr="00265F82" w:rsidRDefault="00FF2120" w:rsidP="00BF1B46">
      <w:pPr>
        <w:overflowPunct w:val="0"/>
        <w:spacing w:line="360" w:lineRule="auto"/>
        <w:jc w:val="both"/>
        <w:textAlignment w:val="baseline"/>
        <w:rPr>
          <w:rFonts w:ascii="Times New Roman" w:hAnsi="Times New Roman" w:cs="Times New Roman"/>
          <w:iCs/>
          <w:sz w:val="24"/>
          <w:szCs w:val="24"/>
        </w:rPr>
      </w:pPr>
      <w:r w:rsidRPr="00265F82">
        <w:rPr>
          <w:rFonts w:ascii="Times New Roman" w:hAnsi="Times New Roman" w:cs="Times New Roman"/>
          <w:sz w:val="24"/>
          <w:szCs w:val="24"/>
        </w:rPr>
        <w:t>Σε μελέτη του ΙΤΑ</w:t>
      </w:r>
      <w:r w:rsidRPr="00265F82">
        <w:rPr>
          <w:rFonts w:ascii="Times New Roman" w:hAnsi="Times New Roman" w:cs="Times New Roman"/>
          <w:sz w:val="24"/>
          <w:szCs w:val="24"/>
          <w:vertAlign w:val="superscript"/>
        </w:rPr>
        <w:footnoteReference w:id="29"/>
      </w:r>
      <w:r w:rsidRPr="00265F82">
        <w:rPr>
          <w:rFonts w:ascii="Times New Roman" w:hAnsi="Times New Roman" w:cs="Times New Roman"/>
          <w:sz w:val="24"/>
          <w:szCs w:val="24"/>
        </w:rPr>
        <w:t xml:space="preserve"> επισημαίνεται ότι η εποπτεία προκύπτει από το γεγονός ότι η εξουσία των ΟΤΑ είναι τμήμα της δημόσιας (κρατικής) εξουσίας που παραχωρείται στους ΟΤΑ, κατά συνέπεια στοχεύει όχι μόνον στη διαφύλαξη του δημοσίου συμφέροντος αλλά και στη διαφύλαξη του συμφέροντος των ΟΤΑ που συνιστά μέρος του δημοσίου συμφέροντος (Ινστιτούτο Τοπικής Αυτοδιοίκησης, 2006). Πάντως, το πλαίσιο της εποπτείας δεν επιτρέπεται να εμποδίζει την ελεύθερη δράση των ΟΤΑ, ούτε να θίγει τη διοικητική και οικονομική τους αυτοτέλεια</w:t>
      </w:r>
      <w:r w:rsidRPr="00265F82">
        <w:rPr>
          <w:rFonts w:ascii="Times New Roman" w:hAnsi="Times New Roman" w:cs="Times New Roman"/>
          <w:sz w:val="24"/>
          <w:szCs w:val="24"/>
          <w:vertAlign w:val="superscript"/>
        </w:rPr>
        <w:footnoteReference w:id="30"/>
      </w:r>
      <w:r w:rsidRPr="00265F82">
        <w:rPr>
          <w:rFonts w:ascii="Times New Roman" w:hAnsi="Times New Roman" w:cs="Times New Roman"/>
          <w:sz w:val="24"/>
          <w:szCs w:val="24"/>
        </w:rPr>
        <w:t>. Πρακτικά, η εποπτεία συνίσταται (πλέον αποκλειστικά) σε έλεγχο νομιμότητας των πράξεων της αυτοδιοίκησης</w:t>
      </w:r>
      <w:r w:rsidRPr="00265F82">
        <w:rPr>
          <w:rFonts w:ascii="Times New Roman" w:hAnsi="Times New Roman" w:cs="Times New Roman"/>
          <w:sz w:val="24"/>
          <w:szCs w:val="24"/>
          <w:vertAlign w:val="superscript"/>
        </w:rPr>
        <w:footnoteReference w:id="31"/>
      </w:r>
      <w:r w:rsidRPr="00265F82">
        <w:rPr>
          <w:rFonts w:ascii="Times New Roman" w:hAnsi="Times New Roman" w:cs="Times New Roman"/>
          <w:sz w:val="24"/>
          <w:szCs w:val="24"/>
        </w:rPr>
        <w:t>. Όπως επισημαίνει ο Μακρυδημήτρης (</w:t>
      </w:r>
      <w:r w:rsidRPr="00265F82">
        <w:rPr>
          <w:rFonts w:ascii="Times New Roman" w:hAnsi="Times New Roman" w:cs="Times New Roman"/>
          <w:iCs/>
          <w:sz w:val="24"/>
          <w:szCs w:val="24"/>
        </w:rPr>
        <w:t>2010, σ. 225</w:t>
      </w:r>
      <w:r w:rsidRPr="00265F82">
        <w:rPr>
          <w:rFonts w:ascii="Times New Roman" w:hAnsi="Times New Roman" w:cs="Times New Roman"/>
          <w:sz w:val="24"/>
          <w:szCs w:val="24"/>
        </w:rPr>
        <w:t>)</w:t>
      </w:r>
      <w:r w:rsidRPr="00265F82">
        <w:rPr>
          <w:rStyle w:val="FootnoteReference"/>
          <w:rFonts w:ascii="Times New Roman" w:hAnsi="Times New Roman"/>
          <w:sz w:val="24"/>
          <w:szCs w:val="24"/>
        </w:rPr>
        <w:footnoteReference w:id="32"/>
      </w:r>
      <w:r w:rsidRPr="00265F82">
        <w:rPr>
          <w:rFonts w:ascii="Times New Roman" w:hAnsi="Times New Roman" w:cs="Times New Roman"/>
          <w:sz w:val="24"/>
          <w:szCs w:val="24"/>
        </w:rPr>
        <w:t>: «</w:t>
      </w:r>
      <w:r w:rsidRPr="00265F82">
        <w:rPr>
          <w:rFonts w:ascii="Times New Roman" w:hAnsi="Times New Roman" w:cs="Times New Roman"/>
          <w:iCs/>
          <w:sz w:val="24"/>
          <w:szCs w:val="24"/>
        </w:rPr>
        <w:t>Ο έλεγχος νομιμότητας αναφέρεται στη δυνατότητα που έχει ένα όργανο του Κράτους να διερευνά εάν και κατά πόσο η δράση ενός άλλου εναρμονίζεται με τους κανόνες που τη διέπουν. Η άσκηση του ελέγχου νομιμότητας μπορεί να περιλαμβάνει είτε την άρνηση έγκρισης μιας πράξης του ελεγχόμενου οργάνου είτε την ακύρωσή της. Πάντοτε, όμως, αποκλειστικά και μόνο για λόγους νομιμότητας (διότι προσκρούει στο θεσμικό πλαίσιο που τη διέπει) και όχι για λόγους σκοπιμότητας (επειδή, λ.χ., δεν συμφωνεί με το περιεχόμενό της)».</w:t>
      </w:r>
    </w:p>
    <w:p w:rsidR="00FF2120" w:rsidRPr="00265F82" w:rsidRDefault="00FF2120" w:rsidP="00BF1B46">
      <w:pPr>
        <w:overflowPunct w:val="0"/>
        <w:spacing w:line="360" w:lineRule="auto"/>
        <w:jc w:val="both"/>
        <w:textAlignment w:val="baseline"/>
        <w:rPr>
          <w:rFonts w:ascii="Times New Roman" w:hAnsi="Times New Roman" w:cs="Times New Roman"/>
          <w:sz w:val="24"/>
          <w:szCs w:val="24"/>
        </w:rPr>
      </w:pPr>
      <w:r w:rsidRPr="00265F82">
        <w:rPr>
          <w:rFonts w:ascii="Times New Roman" w:hAnsi="Times New Roman" w:cs="Times New Roman"/>
          <w:sz w:val="24"/>
          <w:szCs w:val="24"/>
        </w:rPr>
        <w:t>Το εύρος και το περιεχόμενο της εποπτείας δεν παρέμειναν διαχρονικά ίδια καθώς οι βαθμοί ελευθερίας της δράσης των ΟΤΑ προοδευτικά αυξήθηκαν</w:t>
      </w:r>
      <w:r w:rsidRPr="00265F82">
        <w:rPr>
          <w:rFonts w:ascii="Times New Roman" w:hAnsi="Times New Roman" w:cs="Times New Roman"/>
          <w:sz w:val="24"/>
          <w:szCs w:val="24"/>
          <w:vertAlign w:val="superscript"/>
        </w:rPr>
        <w:footnoteReference w:id="33"/>
      </w:r>
      <w:r w:rsidRPr="00265F82">
        <w:rPr>
          <w:rFonts w:ascii="Times New Roman" w:hAnsi="Times New Roman" w:cs="Times New Roman"/>
          <w:sz w:val="24"/>
          <w:szCs w:val="24"/>
        </w:rPr>
        <w:t>. Οι μεταβολές συνδέονται με τη σταδιακή προσαρμογή της κεντρικής διοίκησης στη σταθερή συνταγματική επιταγή</w:t>
      </w:r>
      <w:r w:rsidRPr="00265F82">
        <w:rPr>
          <w:rFonts w:ascii="Times New Roman" w:hAnsi="Times New Roman" w:cs="Times New Roman"/>
          <w:sz w:val="24"/>
          <w:szCs w:val="24"/>
          <w:vertAlign w:val="superscript"/>
        </w:rPr>
        <w:footnoteReference w:id="34"/>
      </w:r>
      <w:r w:rsidRPr="00265F82">
        <w:rPr>
          <w:rFonts w:ascii="Times New Roman" w:hAnsi="Times New Roman" w:cs="Times New Roman"/>
          <w:sz w:val="24"/>
          <w:szCs w:val="24"/>
        </w:rPr>
        <w:t xml:space="preserve"> για διοικητική (και οικονομική από το 2001) αυτοτέλεια. </w:t>
      </w:r>
    </w:p>
    <w:p w:rsidR="00FF2120" w:rsidRPr="00265F82" w:rsidRDefault="00FF2120" w:rsidP="00BF1B46">
      <w:pPr>
        <w:overflowPunct w:val="0"/>
        <w:spacing w:line="360" w:lineRule="auto"/>
        <w:jc w:val="both"/>
        <w:textAlignment w:val="baseline"/>
        <w:rPr>
          <w:rFonts w:ascii="Times New Roman" w:hAnsi="Times New Roman" w:cs="Times New Roman"/>
          <w:sz w:val="24"/>
          <w:szCs w:val="24"/>
        </w:rPr>
      </w:pPr>
      <w:r w:rsidRPr="00265F82">
        <w:rPr>
          <w:rFonts w:ascii="Times New Roman" w:hAnsi="Times New Roman" w:cs="Times New Roman"/>
          <w:sz w:val="24"/>
          <w:szCs w:val="24"/>
        </w:rPr>
        <w:t>Ήδη, όπως αναφέρθηκε, από το Σύνταγμα του 1975</w:t>
      </w:r>
      <w:r w:rsidRPr="00265F82">
        <w:rPr>
          <w:rFonts w:ascii="Times New Roman" w:hAnsi="Times New Roman" w:cs="Times New Roman"/>
          <w:sz w:val="24"/>
          <w:szCs w:val="24"/>
          <w:vertAlign w:val="superscript"/>
        </w:rPr>
        <w:footnoteReference w:id="35"/>
      </w:r>
      <w:r w:rsidRPr="00265F82">
        <w:rPr>
          <w:rFonts w:ascii="Times New Roman" w:hAnsi="Times New Roman" w:cs="Times New Roman"/>
          <w:sz w:val="24"/>
          <w:szCs w:val="24"/>
        </w:rPr>
        <w:t xml:space="preserve"> προβλεπόταν η άσκηση εποπτείας από το κράτος επί των ΟΤΑ η οποία δεν θα εμπόδιζε την πρωτοβουλία και την ελεύθερη δράση τους</w:t>
      </w:r>
      <w:r w:rsidRPr="00265F82">
        <w:rPr>
          <w:rFonts w:ascii="Times New Roman" w:hAnsi="Times New Roman" w:cs="Times New Roman"/>
          <w:sz w:val="24"/>
          <w:szCs w:val="24"/>
          <w:vertAlign w:val="superscript"/>
        </w:rPr>
        <w:footnoteReference w:id="36"/>
      </w:r>
      <w:r w:rsidRPr="00265F82">
        <w:rPr>
          <w:rFonts w:ascii="Times New Roman" w:hAnsi="Times New Roman" w:cs="Times New Roman"/>
          <w:sz w:val="24"/>
          <w:szCs w:val="24"/>
        </w:rPr>
        <w:t>. Παράλληλα, συμπεριλήφθηκε και η αρχή της διοικητικής αυτοτέλειας του θεσμού</w:t>
      </w:r>
      <w:r w:rsidRPr="00265F82">
        <w:rPr>
          <w:rFonts w:ascii="Times New Roman" w:hAnsi="Times New Roman" w:cs="Times New Roman"/>
          <w:sz w:val="24"/>
          <w:szCs w:val="24"/>
          <w:vertAlign w:val="superscript"/>
        </w:rPr>
        <w:footnoteReference w:id="37"/>
      </w:r>
      <w:r w:rsidRPr="00265F82">
        <w:rPr>
          <w:rFonts w:ascii="Times New Roman" w:hAnsi="Times New Roman" w:cs="Times New Roman"/>
          <w:sz w:val="24"/>
          <w:szCs w:val="24"/>
        </w:rPr>
        <w:t>. Οι εν λόγω διατάξεις διατηρήθηκαν κατά την πρώτη αναθεώρηση του Συντάγματος το 1986</w:t>
      </w:r>
      <w:r w:rsidRPr="00265F82">
        <w:rPr>
          <w:rFonts w:ascii="Times New Roman" w:hAnsi="Times New Roman" w:cs="Times New Roman"/>
          <w:sz w:val="24"/>
          <w:szCs w:val="24"/>
          <w:vertAlign w:val="superscript"/>
        </w:rPr>
        <w:footnoteReference w:id="38"/>
      </w:r>
      <w:r w:rsidRPr="00265F82">
        <w:rPr>
          <w:rFonts w:ascii="Times New Roman" w:hAnsi="Times New Roman" w:cs="Times New Roman"/>
          <w:sz w:val="24"/>
          <w:szCs w:val="24"/>
        </w:rPr>
        <w:t>. Η προοδευτική διεύρυνση της αυτοτέλειας των ΟΤΑ συμπεριλήφθηκε στη διατύπωση της παραγράφου 2 του άρθρου 102 του αναθεωρημένου Συντάγματος του 2001</w:t>
      </w:r>
      <w:r w:rsidRPr="00265F82">
        <w:rPr>
          <w:rFonts w:ascii="Times New Roman" w:hAnsi="Times New Roman" w:cs="Times New Roman"/>
          <w:sz w:val="24"/>
          <w:szCs w:val="24"/>
          <w:vertAlign w:val="superscript"/>
        </w:rPr>
        <w:footnoteReference w:id="39"/>
      </w:r>
      <w:r w:rsidRPr="00265F82">
        <w:rPr>
          <w:rFonts w:ascii="Times New Roman" w:hAnsi="Times New Roman" w:cs="Times New Roman"/>
          <w:sz w:val="24"/>
          <w:szCs w:val="24"/>
        </w:rPr>
        <w:t>. Σύμφωνα με τη σχετική διάταξη: «οι οργανισμοί τοπικής αυτοδιοίκησης έχουν διοικητική και οικονομική αυτοτέλεια». Η συνταγματική αναφορά στη διευρυμένη πλέον μορφή αυτοτέλειας του θεσμού ουσιαστικά κατοχύρωνε μια σειρά ειδικότερων ρυθμίσεων αναφορικά με την επέκταση της οικονομικών πόρων της αυτοδιοίκησης, ιδιαίτερα σε ό,τι αφορούσε τη θέσπιση των ΚΑΠ και στους δυο βαθμούς</w:t>
      </w:r>
      <w:r w:rsidRPr="00265F82">
        <w:rPr>
          <w:rFonts w:ascii="Times New Roman" w:hAnsi="Times New Roman" w:cs="Times New Roman"/>
          <w:sz w:val="24"/>
          <w:szCs w:val="24"/>
          <w:vertAlign w:val="superscript"/>
        </w:rPr>
        <w:footnoteReference w:id="40"/>
      </w:r>
      <w:r w:rsidRPr="00265F82">
        <w:rPr>
          <w:rFonts w:ascii="Times New Roman" w:hAnsi="Times New Roman" w:cs="Times New Roman"/>
          <w:sz w:val="24"/>
          <w:szCs w:val="24"/>
        </w:rPr>
        <w:t>.</w:t>
      </w:r>
    </w:p>
    <w:p w:rsidR="00FF2120" w:rsidRPr="00265F82" w:rsidRDefault="00FF2120" w:rsidP="00BF1B46">
      <w:pPr>
        <w:overflowPunct w:val="0"/>
        <w:spacing w:line="360" w:lineRule="auto"/>
        <w:jc w:val="both"/>
        <w:textAlignment w:val="baseline"/>
        <w:rPr>
          <w:rFonts w:ascii="Times New Roman" w:hAnsi="Times New Roman" w:cs="Times New Roman"/>
          <w:sz w:val="24"/>
          <w:szCs w:val="24"/>
        </w:rPr>
      </w:pPr>
      <w:r w:rsidRPr="00265F82">
        <w:rPr>
          <w:rFonts w:ascii="Times New Roman" w:hAnsi="Times New Roman" w:cs="Times New Roman"/>
          <w:sz w:val="24"/>
          <w:szCs w:val="24"/>
        </w:rPr>
        <w:t>Η συρρίκνωση του βαθμού εποπτείας της δράσης της αυτοδιοίκησης από το  κεντρικό κράτος, η οποία ήδη είχε εκκινήσει από τις αρχές της δεκαετίας του 1980, συνεχίστηκε με σταθερό ρυθμό περιορίζοντας σε πρακτικό επίπεδο το εύρος του ασκούμενου ελέγχου</w:t>
      </w:r>
      <w:r w:rsidRPr="00265F82">
        <w:rPr>
          <w:rFonts w:ascii="Times New Roman" w:hAnsi="Times New Roman" w:cs="Times New Roman"/>
          <w:sz w:val="24"/>
          <w:szCs w:val="24"/>
          <w:vertAlign w:val="superscript"/>
        </w:rPr>
        <w:footnoteReference w:id="41"/>
      </w:r>
      <w:r w:rsidRPr="00265F82">
        <w:rPr>
          <w:rFonts w:ascii="Times New Roman" w:hAnsi="Times New Roman" w:cs="Times New Roman"/>
          <w:sz w:val="24"/>
          <w:szCs w:val="24"/>
        </w:rPr>
        <w:t>. Η κατάληξη αυτής της πορείας ήταν το 1994 να αλλάξει ριζικά το περιεχόμενο της εποπτείας, καθώς πλέον θα εστίαζε μόνον στον έλεγχο νομιμότητας των πράξεων των αυτοδιοικητικών οργάνων διοίκησης</w:t>
      </w:r>
      <w:r w:rsidRPr="00265F82">
        <w:rPr>
          <w:rFonts w:ascii="Times New Roman" w:hAnsi="Times New Roman" w:cs="Times New Roman"/>
          <w:sz w:val="24"/>
          <w:szCs w:val="24"/>
          <w:vertAlign w:val="superscript"/>
        </w:rPr>
        <w:footnoteReference w:id="42"/>
      </w:r>
      <w:r w:rsidRPr="00265F82">
        <w:rPr>
          <w:rFonts w:ascii="Times New Roman" w:hAnsi="Times New Roman" w:cs="Times New Roman"/>
          <w:sz w:val="24"/>
          <w:szCs w:val="24"/>
        </w:rPr>
        <w:t xml:space="preserve"> με τη ρητή κατάργηση της άσκησης ελέγχου σκοπιμότητας</w:t>
      </w:r>
      <w:r w:rsidRPr="00265F82">
        <w:rPr>
          <w:rFonts w:ascii="Times New Roman" w:hAnsi="Times New Roman" w:cs="Times New Roman"/>
          <w:sz w:val="24"/>
          <w:szCs w:val="24"/>
          <w:vertAlign w:val="superscript"/>
        </w:rPr>
        <w:footnoteReference w:id="43"/>
      </w:r>
      <w:r w:rsidRPr="00265F82">
        <w:rPr>
          <w:rFonts w:ascii="Times New Roman" w:hAnsi="Times New Roman" w:cs="Times New Roman"/>
          <w:sz w:val="24"/>
          <w:szCs w:val="24"/>
        </w:rPr>
        <w:t>. Ο περιορισμός του είδους του ελέγχου περιβλήθηκε του συνταγματικού τύπου με την αναθεώρηση του 2001</w:t>
      </w:r>
      <w:r w:rsidRPr="00265F82">
        <w:rPr>
          <w:rFonts w:ascii="Times New Roman" w:hAnsi="Times New Roman" w:cs="Times New Roman"/>
          <w:sz w:val="24"/>
          <w:szCs w:val="24"/>
          <w:vertAlign w:val="superscript"/>
        </w:rPr>
        <w:footnoteReference w:id="44"/>
      </w:r>
      <w:r w:rsidRPr="00265F82">
        <w:rPr>
          <w:rFonts w:ascii="Times New Roman" w:hAnsi="Times New Roman" w:cs="Times New Roman"/>
          <w:sz w:val="24"/>
          <w:szCs w:val="24"/>
        </w:rPr>
        <w:t>.  Στην παράγραφο 4 του άρθρου 102 ορίζεται ότι «το κράτος ασκεί στους ΟΤΑ εποπτεία που συνίσταται αποκλειστικά σε έλεγχο νομιμότητας και δεν επιτρέπεται να εμποδίζει την πρωτοβουλία και την ελεύθερη δράση τους»</w:t>
      </w:r>
      <w:r w:rsidRPr="00265F82">
        <w:rPr>
          <w:rFonts w:ascii="Times New Roman" w:hAnsi="Times New Roman" w:cs="Times New Roman"/>
          <w:sz w:val="24"/>
          <w:szCs w:val="24"/>
          <w:vertAlign w:val="superscript"/>
        </w:rPr>
        <w:footnoteReference w:id="45"/>
      </w:r>
      <w:r w:rsidRPr="00265F82">
        <w:rPr>
          <w:rFonts w:ascii="Times New Roman" w:hAnsi="Times New Roman" w:cs="Times New Roman"/>
          <w:sz w:val="24"/>
          <w:szCs w:val="24"/>
        </w:rPr>
        <w:t>. Περαιτέρω, το 2006 προσδιορίστηκε το είδος των αποφάσεων που θα αποστέλλονταν για έλεγχο νομιμότητας</w:t>
      </w:r>
      <w:r w:rsidRPr="00265F82">
        <w:rPr>
          <w:rFonts w:ascii="Times New Roman" w:hAnsi="Times New Roman" w:cs="Times New Roman"/>
          <w:sz w:val="24"/>
          <w:szCs w:val="24"/>
          <w:vertAlign w:val="superscript"/>
        </w:rPr>
        <w:footnoteReference w:id="46"/>
      </w:r>
      <w:r w:rsidRPr="00265F82">
        <w:rPr>
          <w:rFonts w:ascii="Times New Roman" w:hAnsi="Times New Roman" w:cs="Times New Roman"/>
          <w:sz w:val="24"/>
          <w:szCs w:val="24"/>
        </w:rPr>
        <w:t xml:space="preserve"> αναφορικά με τη δράση των πρωτοβάθμιων ΟΤΑ</w:t>
      </w:r>
      <w:r w:rsidRPr="00265F82">
        <w:rPr>
          <w:rFonts w:ascii="Times New Roman" w:hAnsi="Times New Roman" w:cs="Times New Roman"/>
          <w:sz w:val="24"/>
          <w:szCs w:val="24"/>
          <w:vertAlign w:val="superscript"/>
        </w:rPr>
        <w:footnoteReference w:id="47"/>
      </w:r>
      <w:r w:rsidRPr="00265F82">
        <w:rPr>
          <w:rFonts w:ascii="Times New Roman" w:hAnsi="Times New Roman" w:cs="Times New Roman"/>
          <w:sz w:val="24"/>
          <w:szCs w:val="24"/>
        </w:rPr>
        <w:t>, κατάσταση που δεν άλλαξε το 2010 με την αλλαγή της διοικητικής αρχιτεκτονικής της χώρας</w:t>
      </w:r>
      <w:r w:rsidRPr="00265F82">
        <w:rPr>
          <w:rFonts w:ascii="Times New Roman" w:hAnsi="Times New Roman" w:cs="Times New Roman"/>
          <w:sz w:val="24"/>
          <w:szCs w:val="24"/>
          <w:vertAlign w:val="superscript"/>
        </w:rPr>
        <w:footnoteReference w:id="48"/>
      </w:r>
      <w:r w:rsidRPr="00265F82">
        <w:rPr>
          <w:rFonts w:ascii="Times New Roman" w:hAnsi="Times New Roman" w:cs="Times New Roman"/>
          <w:sz w:val="24"/>
          <w:szCs w:val="24"/>
        </w:rPr>
        <w:t>.</w:t>
      </w:r>
    </w:p>
    <w:p w:rsidR="00FF2120" w:rsidRPr="00265F82" w:rsidRDefault="00FF2120" w:rsidP="00BF1B46">
      <w:pPr>
        <w:overflowPunct w:val="0"/>
        <w:spacing w:line="360" w:lineRule="auto"/>
        <w:jc w:val="both"/>
        <w:textAlignment w:val="baseline"/>
        <w:rPr>
          <w:rFonts w:ascii="Times New Roman" w:hAnsi="Times New Roman" w:cs="Times New Roman"/>
          <w:sz w:val="24"/>
          <w:szCs w:val="24"/>
        </w:rPr>
      </w:pPr>
      <w:r w:rsidRPr="00265F82">
        <w:rPr>
          <w:rFonts w:ascii="Times New Roman" w:hAnsi="Times New Roman" w:cs="Times New Roman"/>
          <w:sz w:val="24"/>
          <w:szCs w:val="24"/>
        </w:rPr>
        <w:t>Από την άλλη πλευρά, η αναγωγή της οικονομικής αυτοτέλειας της αυτοδιοίκησης σε συνταγματικό κανόνα</w:t>
      </w:r>
      <w:r w:rsidRPr="00265F82">
        <w:rPr>
          <w:rFonts w:ascii="Times New Roman" w:hAnsi="Times New Roman" w:cs="Times New Roman"/>
          <w:sz w:val="24"/>
          <w:szCs w:val="24"/>
          <w:vertAlign w:val="superscript"/>
        </w:rPr>
        <w:footnoteReference w:id="49"/>
      </w:r>
      <w:r w:rsidRPr="00265F82">
        <w:rPr>
          <w:rFonts w:ascii="Times New Roman" w:hAnsi="Times New Roman" w:cs="Times New Roman"/>
          <w:sz w:val="24"/>
          <w:szCs w:val="24"/>
        </w:rPr>
        <w:t xml:space="preserve"> δημιούργησε αντιστρόφως ανάλογες πιέσεις για την παρακολούθηση των οικονομικών τους πόρων. Συναφώς, προβλέφθηκε η εισαγωγή διπλογραφικού συστήματος λογιστικής παρακολούθησης των οικονομικών καταστάσεων των ΟΤΑ Α΄ (1999)</w:t>
      </w:r>
      <w:r w:rsidRPr="00265F82">
        <w:rPr>
          <w:rFonts w:ascii="Times New Roman" w:hAnsi="Times New Roman" w:cs="Times New Roman"/>
          <w:sz w:val="24"/>
          <w:szCs w:val="24"/>
          <w:vertAlign w:val="superscript"/>
        </w:rPr>
        <w:footnoteReference w:id="50"/>
      </w:r>
      <w:r w:rsidRPr="00265F82">
        <w:rPr>
          <w:rFonts w:ascii="Times New Roman" w:hAnsi="Times New Roman" w:cs="Times New Roman"/>
          <w:sz w:val="24"/>
          <w:szCs w:val="24"/>
        </w:rPr>
        <w:t>, ο τύπος και το περιεχόμενο του προϋπολογισμού για τους ΟΤΑ Α΄ (2004)</w:t>
      </w:r>
      <w:r w:rsidRPr="00265F82">
        <w:rPr>
          <w:rFonts w:ascii="Times New Roman" w:hAnsi="Times New Roman" w:cs="Times New Roman"/>
          <w:sz w:val="24"/>
          <w:szCs w:val="24"/>
          <w:vertAlign w:val="superscript"/>
        </w:rPr>
        <w:footnoteReference w:id="51"/>
      </w:r>
      <w:r w:rsidRPr="00265F82">
        <w:rPr>
          <w:rFonts w:ascii="Times New Roman" w:hAnsi="Times New Roman" w:cs="Times New Roman"/>
          <w:sz w:val="24"/>
          <w:szCs w:val="24"/>
        </w:rPr>
        <w:t>, ενώ η υιοθέτηση της διπλογραφικής λογιστικής στους δευτεροβάθμιους ΟΤΑ προωθήθηκε μόλις το 2011</w:t>
      </w:r>
      <w:r w:rsidRPr="00265F82">
        <w:rPr>
          <w:rFonts w:ascii="Times New Roman" w:hAnsi="Times New Roman" w:cs="Times New Roman"/>
          <w:sz w:val="24"/>
          <w:szCs w:val="24"/>
          <w:vertAlign w:val="superscript"/>
        </w:rPr>
        <w:footnoteReference w:id="52"/>
      </w:r>
      <w:r w:rsidRPr="00265F82">
        <w:rPr>
          <w:rFonts w:ascii="Times New Roman" w:hAnsi="Times New Roman" w:cs="Times New Roman"/>
          <w:sz w:val="24"/>
          <w:szCs w:val="24"/>
        </w:rPr>
        <w:t>. Κατά την περίοδο εκδήλωσης της δημοσιονομικής κρίσης (2009-2010) και ως μέτρο παρακολούθησης των οικονομικών της αυτοδιοίκησης, θεσπίστηκε η ίδρυση Παρατηρητηρίου Οικονομικής Αυτοτέλειας των ΟΤΑ με έδρα στο Υπουργείο Εσωτερικών</w:t>
      </w:r>
      <w:r w:rsidRPr="00265F82">
        <w:rPr>
          <w:rFonts w:ascii="Times New Roman" w:hAnsi="Times New Roman" w:cs="Times New Roman"/>
          <w:sz w:val="24"/>
          <w:szCs w:val="24"/>
          <w:vertAlign w:val="superscript"/>
        </w:rPr>
        <w:footnoteReference w:id="53"/>
      </w:r>
      <w:r w:rsidRPr="00265F82">
        <w:rPr>
          <w:rFonts w:ascii="Times New Roman" w:hAnsi="Times New Roman" w:cs="Times New Roman"/>
          <w:sz w:val="24"/>
          <w:szCs w:val="24"/>
        </w:rPr>
        <w:t>. Σκοπός του Παρατηρητηρίου ορίστηκε «η κατάρτιση από τους ΟΤΑ ρεαλιστικών και ισοσκελισμένων προϋπολογισμών και απολογισμών»</w:t>
      </w:r>
      <w:r w:rsidRPr="00265F82">
        <w:rPr>
          <w:rFonts w:ascii="Times New Roman" w:hAnsi="Times New Roman" w:cs="Times New Roman"/>
          <w:sz w:val="24"/>
          <w:szCs w:val="24"/>
          <w:vertAlign w:val="superscript"/>
        </w:rPr>
        <w:footnoteReference w:id="54"/>
      </w:r>
      <w:r w:rsidRPr="00265F82">
        <w:rPr>
          <w:rFonts w:ascii="Times New Roman" w:hAnsi="Times New Roman" w:cs="Times New Roman"/>
          <w:sz w:val="24"/>
          <w:szCs w:val="24"/>
        </w:rPr>
        <w:t xml:space="preserve">. </w:t>
      </w:r>
    </w:p>
    <w:p w:rsidR="00FF2120" w:rsidRPr="00265F82" w:rsidRDefault="00FF2120" w:rsidP="00BF1B46">
      <w:pPr>
        <w:overflowPunct w:val="0"/>
        <w:spacing w:line="360" w:lineRule="auto"/>
        <w:jc w:val="both"/>
        <w:textAlignment w:val="baseline"/>
        <w:rPr>
          <w:rFonts w:ascii="Times New Roman" w:hAnsi="Times New Roman" w:cs="Times New Roman"/>
          <w:sz w:val="24"/>
          <w:szCs w:val="24"/>
        </w:rPr>
      </w:pPr>
      <w:r w:rsidRPr="00265F82">
        <w:rPr>
          <w:rFonts w:ascii="Times New Roman" w:hAnsi="Times New Roman" w:cs="Times New Roman"/>
          <w:sz w:val="24"/>
          <w:szCs w:val="24"/>
        </w:rPr>
        <w:t xml:space="preserve">Σε πρακτικό επίπεδο η παρακολούθηση των οικονομικών των αυτοδιοικητικών δρώντων δύσκολα μπορεί να λειτουργήσει ως παράγοντας περιορισμού της οικονομικής αυτοτέλειας. Ο σκοπός συνδέεται με την οικονομική εξυγίανση σε περίπτωση συσσώρευσης χρεών, το περιορισμό της έκθεσης σε δάνεια, καθώς και την αποφυγή εκδήλωσης φαινομένων </w:t>
      </w:r>
      <w:r w:rsidRPr="00265F82">
        <w:rPr>
          <w:rFonts w:ascii="Times New Roman" w:hAnsi="Times New Roman" w:cs="Times New Roman"/>
          <w:i/>
          <w:sz w:val="24"/>
          <w:szCs w:val="24"/>
        </w:rPr>
        <w:t>ηθικού κινδύνου</w:t>
      </w:r>
      <w:r w:rsidRPr="00265F82">
        <w:rPr>
          <w:rFonts w:ascii="Times New Roman" w:hAnsi="Times New Roman" w:cs="Times New Roman"/>
          <w:sz w:val="24"/>
          <w:szCs w:val="24"/>
        </w:rPr>
        <w:t xml:space="preserve"> (</w:t>
      </w:r>
      <w:r w:rsidRPr="00265F82">
        <w:rPr>
          <w:rFonts w:ascii="Times New Roman" w:hAnsi="Times New Roman" w:cs="Times New Roman"/>
          <w:sz w:val="24"/>
          <w:szCs w:val="24"/>
          <w:lang w:val="en-US"/>
        </w:rPr>
        <w:t>moral</w:t>
      </w:r>
      <w:r w:rsidRPr="00265F82">
        <w:rPr>
          <w:rFonts w:ascii="Times New Roman" w:hAnsi="Times New Roman" w:cs="Times New Roman"/>
          <w:sz w:val="24"/>
          <w:szCs w:val="24"/>
        </w:rPr>
        <w:t xml:space="preserve"> </w:t>
      </w:r>
      <w:r w:rsidRPr="00265F82">
        <w:rPr>
          <w:rFonts w:ascii="Times New Roman" w:hAnsi="Times New Roman" w:cs="Times New Roman"/>
          <w:sz w:val="24"/>
          <w:szCs w:val="24"/>
          <w:lang w:val="en-US"/>
        </w:rPr>
        <w:t>hazard</w:t>
      </w:r>
      <w:r w:rsidRPr="00265F82">
        <w:rPr>
          <w:rFonts w:ascii="Times New Roman" w:hAnsi="Times New Roman" w:cs="Times New Roman"/>
          <w:sz w:val="24"/>
          <w:szCs w:val="24"/>
        </w:rPr>
        <w:t>)</w:t>
      </w:r>
      <w:r w:rsidRPr="00265F82">
        <w:rPr>
          <w:rFonts w:ascii="Times New Roman" w:hAnsi="Times New Roman" w:cs="Times New Roman"/>
          <w:sz w:val="24"/>
          <w:szCs w:val="24"/>
          <w:vertAlign w:val="superscript"/>
        </w:rPr>
        <w:footnoteReference w:id="55"/>
      </w:r>
      <w:r w:rsidRPr="00265F82">
        <w:rPr>
          <w:rFonts w:ascii="Times New Roman" w:hAnsi="Times New Roman" w:cs="Times New Roman"/>
          <w:sz w:val="24"/>
          <w:szCs w:val="24"/>
        </w:rPr>
        <w:t>. Η ύπαρξη και διατήρηση υγιών οικονομικών μεγεθών</w:t>
      </w:r>
      <w:r w:rsidRPr="00265F82">
        <w:rPr>
          <w:rFonts w:ascii="Times New Roman" w:hAnsi="Times New Roman" w:cs="Times New Roman"/>
          <w:sz w:val="24"/>
          <w:szCs w:val="24"/>
          <w:vertAlign w:val="superscript"/>
        </w:rPr>
        <w:footnoteReference w:id="56"/>
      </w:r>
      <w:r w:rsidRPr="00265F82">
        <w:rPr>
          <w:rFonts w:ascii="Times New Roman" w:hAnsi="Times New Roman" w:cs="Times New Roman"/>
          <w:sz w:val="24"/>
          <w:szCs w:val="24"/>
        </w:rPr>
        <w:t xml:space="preserve"> και δεικτών των δρώντων σε συνδυασμό με την τήρηση δράσεων προγραμματισμού</w:t>
      </w:r>
      <w:r w:rsidRPr="00265F82">
        <w:rPr>
          <w:rFonts w:ascii="Times New Roman" w:hAnsi="Times New Roman" w:cs="Times New Roman"/>
          <w:sz w:val="24"/>
          <w:szCs w:val="24"/>
          <w:vertAlign w:val="superscript"/>
        </w:rPr>
        <w:footnoteReference w:id="57"/>
      </w:r>
      <w:r w:rsidRPr="00265F82">
        <w:rPr>
          <w:rFonts w:ascii="Times New Roman" w:hAnsi="Times New Roman" w:cs="Times New Roman"/>
          <w:sz w:val="24"/>
          <w:szCs w:val="24"/>
        </w:rPr>
        <w:t xml:space="preserve"> αποτελούν παραμέτρους που, εν τέλει, υποστηρίζουν την οικονομική τους αυτοτέλεια.</w:t>
      </w:r>
    </w:p>
    <w:p w:rsidR="00FF2120" w:rsidRPr="00265F82" w:rsidRDefault="00FF2120" w:rsidP="00BF1B46">
      <w:pPr>
        <w:overflowPunct w:val="0"/>
        <w:spacing w:line="360" w:lineRule="auto"/>
        <w:jc w:val="both"/>
        <w:textAlignment w:val="baseline"/>
        <w:rPr>
          <w:rFonts w:ascii="Times New Roman" w:hAnsi="Times New Roman" w:cs="Times New Roman"/>
          <w:sz w:val="24"/>
          <w:szCs w:val="24"/>
        </w:rPr>
      </w:pPr>
      <w:r w:rsidRPr="00265F82">
        <w:rPr>
          <w:rFonts w:ascii="Times New Roman" w:hAnsi="Times New Roman" w:cs="Times New Roman"/>
          <w:sz w:val="24"/>
          <w:szCs w:val="24"/>
        </w:rPr>
        <w:t>Συνολικά, όπως έχει επισημανθεί, ο προοδευτικός περιορισμός του ελέγχου σκοπιμότητας μέχρι και την τελική κατάργησή του είχε ως αποτέλεσμα τη σταδιακή διεύρυνση του πεδίου ευθύνης της αυτοδιοίκησης (Χλέπας, 1999, σσ. 336-337) οδηγώντας σε σταδιακή υπέρβαση του συγκεντρωτικού προτύπου (</w:t>
      </w:r>
      <w:r w:rsidRPr="00265F82">
        <w:rPr>
          <w:rFonts w:ascii="Times New Roman" w:hAnsi="Times New Roman" w:cs="Times New Roman"/>
          <w:sz w:val="24"/>
          <w:szCs w:val="24"/>
          <w:lang w:val="en-US"/>
        </w:rPr>
        <w:t>ibid</w:t>
      </w:r>
      <w:r w:rsidRPr="00265F82">
        <w:rPr>
          <w:rFonts w:ascii="Times New Roman" w:hAnsi="Times New Roman" w:cs="Times New Roman"/>
          <w:sz w:val="24"/>
          <w:szCs w:val="24"/>
        </w:rPr>
        <w:t>., σ. 460).</w:t>
      </w:r>
    </w:p>
    <w:p w:rsidR="00FF2120" w:rsidRPr="00265F82" w:rsidRDefault="00FF2120" w:rsidP="00BF1B46">
      <w:pPr>
        <w:overflowPunct w:val="0"/>
        <w:spacing w:line="360" w:lineRule="auto"/>
        <w:jc w:val="both"/>
        <w:textAlignment w:val="baseline"/>
        <w:rPr>
          <w:rFonts w:ascii="Times New Roman" w:hAnsi="Times New Roman" w:cs="Times New Roman"/>
          <w:sz w:val="24"/>
          <w:szCs w:val="24"/>
        </w:rPr>
      </w:pPr>
    </w:p>
    <w:p w:rsidR="00FF2120" w:rsidRPr="00265F82" w:rsidRDefault="00FF2120" w:rsidP="007D5775">
      <w:pPr>
        <w:overflowPunct w:val="0"/>
        <w:spacing w:line="360" w:lineRule="auto"/>
        <w:jc w:val="both"/>
        <w:textAlignment w:val="baseline"/>
        <w:rPr>
          <w:rFonts w:ascii="Times New Roman" w:hAnsi="Times New Roman" w:cs="Times New Roman"/>
          <w:b/>
          <w:sz w:val="24"/>
          <w:szCs w:val="24"/>
        </w:rPr>
      </w:pPr>
      <w:r w:rsidRPr="00265F82">
        <w:rPr>
          <w:rFonts w:ascii="Times New Roman" w:hAnsi="Times New Roman" w:cs="Times New Roman"/>
          <w:b/>
          <w:sz w:val="24"/>
          <w:szCs w:val="24"/>
        </w:rPr>
        <w:t>Εποπτεία διεθνών δράσεων και συνεργασιών της αυτοδιοίκησης</w:t>
      </w:r>
    </w:p>
    <w:p w:rsidR="00FF2120" w:rsidRPr="00265F82" w:rsidRDefault="00FF2120" w:rsidP="007D5775">
      <w:pPr>
        <w:overflowPunct w:val="0"/>
        <w:spacing w:line="360" w:lineRule="auto"/>
        <w:jc w:val="both"/>
        <w:textAlignment w:val="baseline"/>
        <w:rPr>
          <w:rFonts w:ascii="Times New Roman" w:hAnsi="Times New Roman" w:cs="Times New Roman"/>
          <w:b/>
          <w:sz w:val="24"/>
          <w:szCs w:val="24"/>
        </w:rPr>
      </w:pPr>
    </w:p>
    <w:p w:rsidR="00FF2120" w:rsidRPr="00265F82" w:rsidRDefault="00FF2120" w:rsidP="007D5775">
      <w:pPr>
        <w:overflowPunct w:val="0"/>
        <w:spacing w:line="360" w:lineRule="auto"/>
        <w:jc w:val="both"/>
        <w:textAlignment w:val="baseline"/>
        <w:rPr>
          <w:rFonts w:ascii="Times New Roman" w:hAnsi="Times New Roman" w:cs="Times New Roman"/>
          <w:b/>
          <w:sz w:val="24"/>
          <w:szCs w:val="24"/>
        </w:rPr>
      </w:pPr>
    </w:p>
    <w:p w:rsidR="00FF2120" w:rsidRPr="00265F82" w:rsidRDefault="00FF2120" w:rsidP="007D5775">
      <w:pPr>
        <w:overflowPunct w:val="0"/>
        <w:spacing w:line="360" w:lineRule="auto"/>
        <w:jc w:val="both"/>
        <w:textAlignment w:val="baseline"/>
        <w:rPr>
          <w:rFonts w:ascii="Times New Roman" w:hAnsi="Times New Roman" w:cs="Times New Roman"/>
          <w:sz w:val="24"/>
          <w:szCs w:val="24"/>
        </w:rPr>
      </w:pPr>
      <w:r w:rsidRPr="00265F82">
        <w:rPr>
          <w:rFonts w:ascii="Times New Roman" w:hAnsi="Times New Roman" w:cs="Times New Roman"/>
          <w:sz w:val="24"/>
          <w:szCs w:val="24"/>
        </w:rPr>
        <w:t>Στο πλαίσιο της άσκησης της εποπτείας της κεντρικής διοίκησης επί των ΟΤΑ, η κινητοποίηση των τοπικών και περιφερειακών αρχών στο υπερεθνικό επίπεδο, δηλαδή οι διεθνείς δράσεις και συνεργασίες που αναπτύσσουν, οριοθετείται από σχετικό κανονιστικό πλαίσιο</w:t>
      </w:r>
      <w:r w:rsidRPr="00265F82">
        <w:rPr>
          <w:rStyle w:val="FootnoteReference"/>
          <w:rFonts w:ascii="Times New Roman" w:hAnsi="Times New Roman"/>
          <w:sz w:val="24"/>
          <w:szCs w:val="24"/>
        </w:rPr>
        <w:footnoteReference w:id="58"/>
      </w:r>
      <w:r w:rsidRPr="00265F82">
        <w:rPr>
          <w:rFonts w:ascii="Times New Roman" w:hAnsi="Times New Roman" w:cs="Times New Roman"/>
          <w:sz w:val="24"/>
          <w:szCs w:val="24"/>
        </w:rPr>
        <w:t xml:space="preserve">. Η ανάπτυξη πρωτοβουλιών, δράσεων και συνεργασιών διεθνούς χαρακτήρα εκ μέρους των τοπικών και περιφερειακών αρχών συνιστά μια ιδιαίτερη πτυχή του συνολικότερου ελέγχου. Δεδομένου ότι τα θέματα εξωτερικής πολιτικής άπτονται της αρμοδιότητας των εθνικών δρώντων, διαμορφώθηκε σταδιακά ένα πλαίσιο ελέγχου της δραστηριοποίησης των υποεθνικών αρχών σε διεθνές και (ιδιαίτερα) ευρωπαϊκό πεδίο. Η άσκηση του ελέγχου της υπερεθνικής κινητοποίησης που αναπτύσσουν οι υποεθνικοί δρώντες πραγματοποιείται απευθείας από τις εθνικές αρχές (ΥΠΕΣ, παλαιότερα Υπουργείο Εξωτερικών) και όχι από τις αποσυγκεντρωμένες (ή τον Επόπτη ΟΤΑ, όταν ολοκληρωθούν οι σχετικές διαδικασίες) όπως συμβαίνει με την περίπτωση του τυπικού ελέγχου νομιμότητας της δράσης τους. </w:t>
      </w:r>
    </w:p>
    <w:p w:rsidR="00FF2120" w:rsidRPr="00265F82" w:rsidRDefault="00FF2120" w:rsidP="007D5775">
      <w:pPr>
        <w:overflowPunct w:val="0"/>
        <w:spacing w:line="360" w:lineRule="auto"/>
        <w:jc w:val="both"/>
        <w:textAlignment w:val="baseline"/>
        <w:rPr>
          <w:rFonts w:ascii="Times New Roman" w:hAnsi="Times New Roman" w:cs="Times New Roman"/>
          <w:sz w:val="24"/>
          <w:szCs w:val="24"/>
        </w:rPr>
      </w:pPr>
    </w:p>
    <w:p w:rsidR="00FF2120" w:rsidRPr="00265F82" w:rsidRDefault="00FF2120" w:rsidP="00BF1B46">
      <w:pPr>
        <w:overflowPunct w:val="0"/>
        <w:spacing w:line="360" w:lineRule="auto"/>
        <w:jc w:val="both"/>
        <w:textAlignment w:val="baseline"/>
        <w:rPr>
          <w:rFonts w:ascii="Times New Roman" w:hAnsi="Times New Roman" w:cs="Times New Roman"/>
          <w:sz w:val="24"/>
          <w:szCs w:val="24"/>
        </w:rPr>
      </w:pPr>
      <w:r w:rsidRPr="00265F82">
        <w:rPr>
          <w:rFonts w:ascii="Times New Roman" w:hAnsi="Times New Roman" w:cs="Times New Roman"/>
          <w:sz w:val="24"/>
          <w:szCs w:val="24"/>
        </w:rPr>
        <w:t>Γενικά, το περιεχόμενο του ελέγχου προσαρμόστηκε σταδιακά αναγνωρίζοντας εμμέσως την πολυεπίπεδη πραγματικότητα που χαρακτηρίζει τη φύση και την καθημερινή λειτουργία της ΕΕ. Η δραστηριοποίηση των τοπικών και περιφερειακών αρχών παρακολουθείται από διοικητικό μηχανισμό, ιδίως κατά το αρχικό της στάδιο όταν και χορηγείται (ή απορρίπτεται) η τυπική έγκριση για ανάπτυξη υπερεθνικής δράσης των αρχών.</w:t>
      </w:r>
    </w:p>
    <w:p w:rsidR="00FF2120" w:rsidRPr="00265F82" w:rsidRDefault="00FF2120" w:rsidP="00BF1B46">
      <w:pPr>
        <w:overflowPunct w:val="0"/>
        <w:spacing w:line="360" w:lineRule="auto"/>
        <w:jc w:val="both"/>
        <w:textAlignment w:val="baseline"/>
        <w:rPr>
          <w:rFonts w:ascii="Times New Roman" w:hAnsi="Times New Roman" w:cs="Times New Roman"/>
          <w:sz w:val="24"/>
          <w:szCs w:val="24"/>
        </w:rPr>
      </w:pPr>
    </w:p>
    <w:p w:rsidR="00FF2120" w:rsidRPr="00265F82" w:rsidRDefault="00FF2120" w:rsidP="00BF1B46">
      <w:pPr>
        <w:overflowPunct w:val="0"/>
        <w:spacing w:line="360" w:lineRule="auto"/>
        <w:jc w:val="both"/>
        <w:textAlignment w:val="baseline"/>
        <w:rPr>
          <w:rFonts w:ascii="Times New Roman" w:hAnsi="Times New Roman" w:cs="Times New Roman"/>
          <w:sz w:val="24"/>
          <w:szCs w:val="24"/>
        </w:rPr>
      </w:pPr>
      <w:r w:rsidRPr="00265F82">
        <w:rPr>
          <w:rFonts w:ascii="Times New Roman" w:hAnsi="Times New Roman" w:cs="Times New Roman"/>
          <w:sz w:val="24"/>
          <w:szCs w:val="24"/>
        </w:rPr>
        <w:t>Η βασική προϋπόθεση συμβατότητας της κινητοποίησης των αυτοδιοικητικών αρχών στο διεθνές και ευρωπαϊκό επίπεδο είναι η ευθυγράμμιση με το κριτήριο του σεβασμού «της εθνικής και της κοινοτικής νομοθεσίας και πολιτικής, καθώς και των ευρωπαϊκών και διεθνών υποχρεώσεων της χώρας»</w:t>
      </w:r>
      <w:r w:rsidRPr="00265F82">
        <w:rPr>
          <w:rFonts w:ascii="Times New Roman" w:hAnsi="Times New Roman" w:cs="Times New Roman"/>
          <w:sz w:val="24"/>
          <w:szCs w:val="24"/>
          <w:vertAlign w:val="superscript"/>
        </w:rPr>
        <w:footnoteReference w:id="59"/>
      </w:r>
      <w:r w:rsidRPr="00265F82">
        <w:rPr>
          <w:rFonts w:ascii="Times New Roman" w:hAnsi="Times New Roman" w:cs="Times New Roman"/>
          <w:sz w:val="24"/>
          <w:szCs w:val="24"/>
        </w:rPr>
        <w:t>.</w:t>
      </w:r>
      <w:r w:rsidRPr="00265F82">
        <w:t xml:space="preserve"> </w:t>
      </w:r>
      <w:r w:rsidRPr="00265F82">
        <w:rPr>
          <w:rFonts w:ascii="Times New Roman" w:hAnsi="Times New Roman" w:cs="Times New Roman"/>
          <w:sz w:val="24"/>
          <w:szCs w:val="24"/>
        </w:rPr>
        <w:t xml:space="preserve">Για τη συμβατότητα των ανωτέρω δράσεων των ΟΤΑ Α΄ με τις εθνικές πολιτικές, την εθνική και κοινοτική νομοθεσία και σε σχέση με το εύρος της αρμοδιότητάς τους ορίστηκε ως προαπαιτούμενο της έγκρισής τους η σύμφωνη γνώμη της Επιτροπής του ν. 3345.2005 . Από το 2007 διευρύνθηκε η δυνατότητα κινητοποίησης των τοπικών και περιφερειακών αρχών μέσω της συμμετοχής τους και σε σχήματα Ευρωπαϊκών Ομίλων Εδαφικής Συνεργασίας (ΕΟΕΣ). </w:t>
      </w:r>
    </w:p>
    <w:p w:rsidR="00FF2120" w:rsidRPr="00265F82" w:rsidRDefault="00FF2120" w:rsidP="00BF1B46">
      <w:pPr>
        <w:overflowPunct w:val="0"/>
        <w:spacing w:line="360" w:lineRule="auto"/>
        <w:jc w:val="both"/>
        <w:textAlignment w:val="baseline"/>
        <w:rPr>
          <w:rFonts w:ascii="Times New Roman" w:hAnsi="Times New Roman" w:cs="Times New Roman"/>
          <w:sz w:val="24"/>
          <w:szCs w:val="24"/>
        </w:rPr>
      </w:pPr>
    </w:p>
    <w:p w:rsidR="00FF2120" w:rsidRPr="007D5775" w:rsidRDefault="00FF2120" w:rsidP="00BF1B46">
      <w:pPr>
        <w:overflowPunct w:val="0"/>
        <w:spacing w:line="360" w:lineRule="auto"/>
        <w:jc w:val="both"/>
        <w:textAlignment w:val="baseline"/>
        <w:rPr>
          <w:rFonts w:ascii="Times New Roman" w:hAnsi="Times New Roman" w:cs="Times New Roman"/>
          <w:color w:val="C00000"/>
          <w:sz w:val="24"/>
          <w:szCs w:val="24"/>
        </w:rPr>
      </w:pPr>
      <w:r w:rsidRPr="00265F82">
        <w:rPr>
          <w:rFonts w:ascii="Times New Roman" w:hAnsi="Times New Roman" w:cs="Times New Roman"/>
          <w:sz w:val="24"/>
          <w:szCs w:val="24"/>
        </w:rPr>
        <w:t xml:space="preserve">Επιστρέφοντας στην συζήτηση που αφορά το πλαίσιο διοικητικής εποπτείας εντός των εθνικών συνόρων, επισημαίνεται ότι ο νόμος 4555/2018, τροποποιεί τις διατάξεις του ν.3852/2010 για την διοικητική εποπτεία και προβλέπει τη σύσταση επτά (7) Αυτοτελών Υπηρεσιών Εποπτείας Ο.Τ.Α. (ΑΥΕ-ΟΤΑ), οι οποίες αποτελούν αποκεντρωμένες υπηρεσίες του Υπουργείου Εσωτερικών, υπάγονται απευθείας στον Υπουργό και είναι αρμόδιες για την εποπτεία των Ο.Τ.Α. Στην κάθε ΑΥΕ- ΟΤΑ συνιστάται θέση προϊσταμένου αυτής, της κατηγορίας ειδικών θέσεων πρώτου βαθμού, που φέρει τον τίτλο «Επόπτης Ο.Τ.Α.» (σε αντικατάσταση του «Ελεγκτή Νομιμότητας» που είχε θεσπίσει ο ν. 3852/ 2010), που διορίζεται με τετραετή θητεία, η οποία μπορεί να ανανεώνεται. Το προσωπικό των ΑΥΕ- ΟΤΑ αποτελείται από μονίμους υπαλλήλους κατηγορίας ΠΕ, ΤΕ, ΔΕ, ΥΕ, οι οποίοι διορίζονται σύμφωνα με </w:t>
      </w:r>
      <w:r w:rsidRPr="003628AE">
        <w:rPr>
          <w:rFonts w:ascii="Times New Roman" w:hAnsi="Times New Roman" w:cs="Times New Roman"/>
          <w:sz w:val="24"/>
          <w:szCs w:val="24"/>
        </w:rPr>
        <w:t>τις διατάξεις του ν. 2190/1994</w:t>
      </w:r>
      <w:r>
        <w:rPr>
          <w:rFonts w:ascii="Times New Roman" w:hAnsi="Times New Roman" w:cs="Times New Roman"/>
          <w:sz w:val="24"/>
          <w:szCs w:val="24"/>
        </w:rPr>
        <w:t>.</w:t>
      </w:r>
    </w:p>
    <w:p w:rsidR="00FF2120" w:rsidRDefault="00FF2120" w:rsidP="00BF1B46">
      <w:pPr>
        <w:overflowPunct w:val="0"/>
        <w:spacing w:line="360" w:lineRule="auto"/>
        <w:jc w:val="both"/>
        <w:textAlignment w:val="baseline"/>
        <w:rPr>
          <w:rFonts w:ascii="Times New Roman" w:hAnsi="Times New Roman" w:cs="Times New Roman"/>
          <w:sz w:val="24"/>
          <w:szCs w:val="24"/>
        </w:rPr>
      </w:pPr>
    </w:p>
    <w:p w:rsidR="00FF2120" w:rsidRDefault="00FF2120" w:rsidP="00BF1B46">
      <w:pPr>
        <w:overflowPunct w:val="0"/>
        <w:spacing w:line="360" w:lineRule="auto"/>
        <w:jc w:val="both"/>
        <w:textAlignment w:val="baseline"/>
        <w:rPr>
          <w:rFonts w:ascii="Times New Roman" w:hAnsi="Times New Roman" w:cs="Times New Roman"/>
          <w:sz w:val="24"/>
          <w:szCs w:val="24"/>
        </w:rPr>
      </w:pPr>
      <w:r w:rsidRPr="003628AE">
        <w:rPr>
          <w:rFonts w:ascii="Times New Roman" w:hAnsi="Times New Roman" w:cs="Times New Roman"/>
          <w:sz w:val="24"/>
          <w:szCs w:val="24"/>
        </w:rPr>
        <w:t>Με τις διατάξεις του ν. 4555/ 2015 (άρθρο 115) προβλέπεται η σύσταση της Επιτροπής Συντονισμού και Ελέγχου Εποπτείας Ο.Τ.Α., σκοπός της οποίας είναι ο περιοδικός έλεγχος του επιπέδου συμμόρφωσης των Ο.Τ.Α., η αξιολόγηση της αποτελεσματικότητας του μηχανισμού εποπτείας, η αμοιβαία ενημέρωση όλων των διοικητικών και δικαστικών φορέων για τα θέματα αρμοδιότητάς τους που αφορούν την Τοπική Αυτοδιοίκηση, καθώς και η εν γένει παρακολούθηση και η μέριμνα για τη διαρκή αναβάθμιση της αποτελεσματικότητας της κρατικής εποπτείας επί των Ο.Τ.Α.</w:t>
      </w:r>
      <w:r>
        <w:rPr>
          <w:rFonts w:ascii="Times New Roman" w:hAnsi="Times New Roman" w:cs="Times New Roman"/>
          <w:sz w:val="24"/>
          <w:szCs w:val="24"/>
        </w:rPr>
        <w:t xml:space="preserve"> </w:t>
      </w:r>
    </w:p>
    <w:p w:rsidR="00FF2120" w:rsidRDefault="00FF2120" w:rsidP="00BF1B46">
      <w:pPr>
        <w:overflowPunct w:val="0"/>
        <w:spacing w:line="360" w:lineRule="auto"/>
        <w:jc w:val="both"/>
        <w:textAlignment w:val="baseline"/>
        <w:rPr>
          <w:rFonts w:ascii="Times New Roman" w:hAnsi="Times New Roman" w:cs="Times New Roman"/>
          <w:sz w:val="24"/>
          <w:szCs w:val="24"/>
        </w:rPr>
      </w:pPr>
    </w:p>
    <w:p w:rsidR="00FF2120" w:rsidRDefault="00FF2120" w:rsidP="00BF1B46">
      <w:pPr>
        <w:overflowPunct w:val="0"/>
        <w:spacing w:line="360" w:lineRule="auto"/>
        <w:jc w:val="both"/>
        <w:textAlignment w:val="baseline"/>
        <w:rPr>
          <w:rFonts w:ascii="Times New Roman" w:hAnsi="Times New Roman" w:cs="Times New Roman"/>
          <w:sz w:val="24"/>
          <w:szCs w:val="24"/>
        </w:rPr>
      </w:pPr>
      <w:r w:rsidRPr="003628AE">
        <w:rPr>
          <w:rFonts w:ascii="Times New Roman" w:hAnsi="Times New Roman" w:cs="Times New Roman"/>
          <w:sz w:val="24"/>
          <w:szCs w:val="24"/>
        </w:rPr>
        <w:t>Ο Συντονιστής (Επόπτης) μπορεί αυτεπαγγέλτως να ακυρώσει οποιαδήποτε απόφαση των συλλογικών ή μονομελών οργάνων των δήμων, των περιφερειών, των νομικών προσώπων αυτών, καθώς και των συνδέσμων τους, για λόγους νομιμότητας, μέσα σε προθεσμία δύο (2) μηνών αφότου η απόφαση έχει δημοσιευτεί ή εκδοθεί.</w:t>
      </w:r>
      <w:r>
        <w:rPr>
          <w:rFonts w:ascii="Times New Roman" w:hAnsi="Times New Roman" w:cs="Times New Roman"/>
          <w:sz w:val="24"/>
          <w:szCs w:val="24"/>
        </w:rPr>
        <w:t xml:space="preserve"> </w:t>
      </w:r>
      <w:r w:rsidRPr="003628AE">
        <w:rPr>
          <w:rFonts w:ascii="Times New Roman" w:hAnsi="Times New Roman" w:cs="Times New Roman"/>
          <w:sz w:val="24"/>
          <w:szCs w:val="24"/>
        </w:rPr>
        <w:t>Κατά το μεταβατικό στάδιο μέχρι την έναρξη λειτουργίας της ΑΥΕ-ΟΤΑ, ασκείται έλεγχος νομιμότητας από το Συντονιστή της Αποκεντρωμένης Διοίκησης στις πράξεις των δήμων και των περιφερειών, κατά τη διαδικασία του ελέγχου νομιμότητας που ασκούσε ο Γενικός Γραμματέας της (τότε κρατικής) Περιφέρειας στους δήμους, κατά τον ΚΔΚ (Κώδικας Δήμων και Κοινοτήτων, κυρωτ. Ν. 3463/ 2006), και τις νομαρχιακές αυτοδιοικήσεις, κατά τον ΚΝΑ (Κώδικας Νομαρχιακής Αυτοδιοίκησης, πδ 30/ 1996), εντός του νέου πλαισίου (αναφορικά με το χρονικό διάστημα άσκησης της προσφυγής, εξέτασής της και εύρος του ελέγχου) που ορίζουν ο διατάξεις των άρθρων 225, 226 και 227 του ν. 3852/ 2010, όπως τροποποιήθηκαν με το ν. 4555/ 2018.</w:t>
      </w:r>
      <w:r>
        <w:rPr>
          <w:rFonts w:ascii="Times New Roman" w:hAnsi="Times New Roman" w:cs="Times New Roman"/>
          <w:sz w:val="24"/>
          <w:szCs w:val="24"/>
        </w:rPr>
        <w:t xml:space="preserve"> </w:t>
      </w:r>
    </w:p>
    <w:p w:rsidR="00FF2120" w:rsidRDefault="00FF2120" w:rsidP="00BF1B46">
      <w:pPr>
        <w:overflowPunct w:val="0"/>
        <w:spacing w:line="360" w:lineRule="auto"/>
        <w:jc w:val="both"/>
        <w:textAlignment w:val="baseline"/>
        <w:rPr>
          <w:rFonts w:ascii="Times New Roman" w:hAnsi="Times New Roman" w:cs="Times New Roman"/>
          <w:sz w:val="24"/>
          <w:szCs w:val="24"/>
        </w:rPr>
      </w:pPr>
    </w:p>
    <w:p w:rsidR="00FF2120" w:rsidRDefault="00FF2120" w:rsidP="00BF1B46">
      <w:pPr>
        <w:overflowPunct w:val="0"/>
        <w:spacing w:line="360" w:lineRule="auto"/>
        <w:jc w:val="both"/>
        <w:textAlignment w:val="baseline"/>
        <w:rPr>
          <w:rFonts w:ascii="Times New Roman" w:hAnsi="Times New Roman" w:cs="Times New Roman"/>
          <w:sz w:val="24"/>
          <w:szCs w:val="24"/>
        </w:rPr>
      </w:pPr>
      <w:r w:rsidRPr="003628AE">
        <w:rPr>
          <w:rFonts w:ascii="Times New Roman" w:hAnsi="Times New Roman" w:cs="Times New Roman"/>
          <w:sz w:val="24"/>
          <w:szCs w:val="24"/>
        </w:rPr>
        <w:t>Σύμφωνα με την πρόβλεψη του άρθρου 238 του ν. 3852/ 2010, σε συνδυασμό με τις διατάξεις του άρθρου 151 ΚΔΚ, οι αποφάσεις του Συντονιστή, οι οποίες εκδίδονται είτε στο πλαίσιο του ελέγχου νομιμότητας είτε κατόπιν άσκησης ειδικής διοικητικής προσφυγής προσβάλλονται ενώπιον Ειδικής Επιτροπής, η οποία συγκροτείται και λειτουργεί σύμφωνα με τις διατάξεις του άρθρου 152 ΚΔΚ. Επισημαίνεται ότι δεν υπόκεινται σε άσκηση προσφυγής απ’ ευθείας ενώπιον της Επιτροπής οι πράξεις του Δημοτικού Συμβουλίου. Σημειώνεται η υποχρέωση κοινοποίησης των αποφάσεων της Ειδικής Επιτροπής στον Συντονιστή και στον οικείο ΟΤΑ, καθώς και σε αυτόν που έχει ασκήσει την προσφυγή. Οι αποφάσεις της Ειδικής Επιτροπής δημοσιεύονται υποχρεωτικά με φροντίδα του δήμου με ανάρτηση στο κατάστημα του οικείου οργανισμού, συντασσομένου, παράλληλα, πρακτικού ενώπιον δύο μαρτύρων και κοινοποιείται εκτός από τον προσφεύγοντα και στον εμπλεκόμενο ΟΤΑ, ο οποίος οφείλει να συμμορφωθεί με αυτή. Σύμφωνα με το άρθρο 225 του ν. 3852/ 2010, όπως αντικαταστάθηκε σύμφωνα με το άρθρο 116 του ν. 4555/ 2018, οι αποφάσεις των συλλογικών οργάνων των δήμων και των περιφερειών, καθώς και των Ν.Π.Δ.Δ. αυτών, αποστέλλονται υποχρεωτικά για έλεγχο νομιμότητας στην ΑΥΕ Ο.Τ.Α., εφόσον αφορούν: α) ρυθμίσεις κανονιστικού περιεχομένου, β) την ανάθεση έργων, υπηρεσιών, μελετών και προμηθειών, αν το τίμημα υπερβαίνει το ποσό των εξήντα χιλιάδων (60.000) ευρώ χωρίς Φ.Π.Α., γ) την αγορά και εκποίηση, λόγω πώλησης ή δωρεάς κατά κυριότητα, ακινήτων, δ) την κήρυξη αναγκαστικών απαλλοτριώσεων, ε) τη μίσθωση ακινήτων από τρίτους, στ) τη σύναψη πάσης φύσεως δανείων, ζ) την ίδρυση πάσης φύσεως νομικών προσώπων, τη συμμετοχή σε υφιστάμενα νομικά πρόσωπα, καθώς και τη λύση και τη θέση σε εκκαθάριση νομικών προσώπων, η) τη σύναψη προγραμματικών συμβάσεων, με την επιφύλαξη του τελευταίου εδαφίου της περίπτωσης α’ της παραγράφου 1 του άρθρου 100 και θ) τη διεξαγωγή δημοτικού ή περιφερειακού δημοψηφίσματος. Στην ΑΥΕ Ο.Τ.Α. αποστέλλονται προς έλεγχο νομιμότητας και οι αποφάσεις των κοινωφελών επιχειρήσεων, των Δημοτικών Επιχειρήσεων Ύδρευσης - Αποχέτευσης και των μονομετοχικών ανωνύμων εταιρειών Ο.Τ.Α. που αφορούν: α) αύξηση του μετοχικού κεφαλαίου, β) εκποίηση παγίων περιουσιακών στοιχείων, γ) αγορά και εκποίηση ακινήτων, δ) σύναψη δανείων, ε) ανάθεση έργων, υπηρεσιών, μελετών και προμηθειών, εάν το τίμημα υπερβαίνει το ποσό των εξήντα χιλιάδων (60.000) ευρώ χωρίς Φ.Π.Α., στ) μίσθωση ακινήτων από τρίτους και ζ) τη σύναψη προγραμματικών συμβάσεων, με την επιφύλαξη της περίπτωσης α’ της παραγράφου 1 του άρθρου 100. Ειδικά, για τις ΔΕΥΑ, εκτός από τις παραπάνω αποφάσεις, αποστέλλονται επιπλέον προς έλεγχο νομιμότητας οι αποφάσεις εκείνες που αφορούν την ψήφιση του προϋπολογισμού της επιχείρησης και του τεχνικού προγράμματος έργων, καθώς και κάθε τροποποίησή τους. Επίσης, αποστέλλονται προς έλεγχο νομιμότητας οι αποφάσεις των Περιφερειακών Ταμείων Ανάπτυξης, εφόσον υπάγονται στις περιπτώσεις των προηγούμενων εδαφίων της παραγράφου αυτής, καθώς και ο προϋπολογισμός τους. Οι ετήσιες οικονομικές καταστάσεις αυτών κοινοποιούνται στην ΑΥΕ Ο.Τ.Α.</w:t>
      </w:r>
      <w:r>
        <w:rPr>
          <w:rFonts w:ascii="Times New Roman" w:hAnsi="Times New Roman" w:cs="Times New Roman"/>
          <w:sz w:val="24"/>
          <w:szCs w:val="24"/>
        </w:rPr>
        <w:t xml:space="preserve"> </w:t>
      </w:r>
    </w:p>
    <w:p w:rsidR="00FF2120" w:rsidRDefault="00FF2120" w:rsidP="00BF1B46">
      <w:pPr>
        <w:overflowPunct w:val="0"/>
        <w:spacing w:line="360" w:lineRule="auto"/>
        <w:jc w:val="both"/>
        <w:textAlignment w:val="baseline"/>
        <w:rPr>
          <w:rFonts w:ascii="Times New Roman" w:hAnsi="Times New Roman" w:cs="Times New Roman"/>
          <w:sz w:val="24"/>
          <w:szCs w:val="24"/>
        </w:rPr>
      </w:pPr>
    </w:p>
    <w:p w:rsidR="00FF2120" w:rsidRPr="003628AE" w:rsidRDefault="00FF2120" w:rsidP="00BF1B46">
      <w:pPr>
        <w:overflowPunct w:val="0"/>
        <w:spacing w:line="360" w:lineRule="auto"/>
        <w:jc w:val="both"/>
        <w:textAlignment w:val="baseline"/>
        <w:rPr>
          <w:rFonts w:ascii="Times New Roman" w:hAnsi="Times New Roman" w:cs="Times New Roman"/>
          <w:sz w:val="24"/>
          <w:szCs w:val="24"/>
        </w:rPr>
      </w:pPr>
      <w:r w:rsidRPr="003628AE">
        <w:rPr>
          <w:rFonts w:ascii="Times New Roman" w:hAnsi="Times New Roman" w:cs="Times New Roman"/>
          <w:sz w:val="24"/>
          <w:szCs w:val="24"/>
        </w:rPr>
        <w:t>Σύμφωνα με την παρ. 1 του άρθρου 132 του ν.4555/2018, από την έναρξη ισχύος του νόμου κάθε διάταξη που ρυθμίζει διαφορετικά τον υποχρεωτικό έλεγχο νομιμότητας καταργείται. Συνεπώς, ειδικότερες διατάξεις νόμων που προβλέπουν την άσκηση υποχρεωτικού ελέγχου νομιμότητας σε κατηγορίες αποφάσεων, πέραν αυτών που προβλέπονται στο άρθρο 225 του ν.3852/2010, όπως αντικαταστάθηκε με το άρθρο 116 του ν. 4555/2018 καταργούνται.</w:t>
      </w:r>
    </w:p>
    <w:p w:rsidR="00FF2120" w:rsidRDefault="00FF2120" w:rsidP="007F3003">
      <w:pPr>
        <w:spacing w:line="360" w:lineRule="auto"/>
        <w:ind w:left="-540" w:right="288" w:firstLine="540"/>
        <w:jc w:val="both"/>
        <w:rPr>
          <w:rFonts w:ascii="Times New Roman" w:hAnsi="Times New Roman" w:cs="Times New Roman"/>
          <w:sz w:val="24"/>
          <w:szCs w:val="24"/>
        </w:rPr>
      </w:pPr>
    </w:p>
    <w:p w:rsidR="00FF2120" w:rsidRPr="003628AE" w:rsidRDefault="00FF2120" w:rsidP="007F3003">
      <w:pPr>
        <w:spacing w:line="360" w:lineRule="auto"/>
        <w:ind w:left="-540" w:right="288" w:firstLine="540"/>
        <w:jc w:val="both"/>
        <w:rPr>
          <w:rFonts w:ascii="Times New Roman" w:hAnsi="Times New Roman" w:cs="Times New Roman"/>
          <w:sz w:val="24"/>
          <w:szCs w:val="24"/>
        </w:rPr>
      </w:pPr>
    </w:p>
    <w:sectPr w:rsidR="00FF2120" w:rsidRPr="003628AE" w:rsidSect="0078474E">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120" w:rsidRDefault="00FF2120">
      <w:r>
        <w:separator/>
      </w:r>
    </w:p>
  </w:endnote>
  <w:endnote w:type="continuationSeparator" w:id="0">
    <w:p w:rsidR="00FF2120" w:rsidRDefault="00FF21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120" w:rsidRDefault="00FF2120" w:rsidP="00AC4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2120" w:rsidRDefault="00FF2120" w:rsidP="00F802D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120" w:rsidRDefault="00FF2120" w:rsidP="00AC4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F2120" w:rsidRDefault="00FF2120" w:rsidP="00F802D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120" w:rsidRDefault="00FF2120">
      <w:r>
        <w:separator/>
      </w:r>
    </w:p>
  </w:footnote>
  <w:footnote w:type="continuationSeparator" w:id="0">
    <w:p w:rsidR="00FF2120" w:rsidRDefault="00FF2120">
      <w:r>
        <w:continuationSeparator/>
      </w:r>
    </w:p>
  </w:footnote>
  <w:footnote w:id="1">
    <w:p w:rsidR="00FF2120" w:rsidRDefault="00FF2120" w:rsidP="006756EF">
      <w:pPr>
        <w:jc w:val="both"/>
      </w:pPr>
      <w:r w:rsidRPr="00DB2DCC">
        <w:rPr>
          <w:vertAlign w:val="superscript"/>
        </w:rPr>
        <w:footnoteRef/>
      </w:r>
      <w:r w:rsidRPr="00B9574E">
        <w:t xml:space="preserve">    </w:t>
      </w:r>
      <w:r w:rsidRPr="00B9574E">
        <w:rPr>
          <w:color w:val="000000"/>
        </w:rPr>
        <w:t xml:space="preserve"> </w:t>
      </w:r>
      <w:r w:rsidRPr="00B1276D">
        <w:rPr>
          <w:rFonts w:ascii="Times New Roman" w:hAnsi="Times New Roman" w:cs="Times New Roman"/>
          <w:color w:val="000000"/>
        </w:rPr>
        <w:t>Με το  Πρωτόκολλο του Λονδίνου του 1830 (Πρωτόκολλο της ανεξαρτησίας)</w:t>
      </w:r>
      <w:r w:rsidRPr="00B1276D">
        <w:rPr>
          <w:rFonts w:ascii="Times New Roman" w:hAnsi="Times New Roman" w:cs="Times New Roman"/>
          <w:b/>
          <w:bCs/>
          <w:color w:val="000000"/>
        </w:rPr>
        <w:t xml:space="preserve"> </w:t>
      </w:r>
      <w:r w:rsidRPr="00B1276D">
        <w:rPr>
          <w:rFonts w:ascii="Times New Roman" w:hAnsi="Times New Roman" w:cs="Times New Roman"/>
          <w:color w:val="000000"/>
        </w:rPr>
        <w:t xml:space="preserve"> που υπογράφτηκε από τις Αγγλία, Γαλλία και Ρωσία στις </w:t>
      </w:r>
      <w:hyperlink r:id="rId1" w:history="1">
        <w:r w:rsidRPr="00B1276D">
          <w:rPr>
            <w:rFonts w:ascii="Times New Roman" w:hAnsi="Times New Roman" w:cs="Times New Roman"/>
            <w:color w:val="000000"/>
          </w:rPr>
          <w:t>3 Φεβρουαρίου</w:t>
        </w:r>
      </w:hyperlink>
      <w:r w:rsidRPr="00B1276D">
        <w:rPr>
          <w:rFonts w:ascii="Times New Roman" w:hAnsi="Times New Roman" w:cs="Times New Roman"/>
          <w:color w:val="000000"/>
        </w:rPr>
        <w:t xml:space="preserve"> του </w:t>
      </w:r>
      <w:hyperlink r:id="rId2" w:history="1">
        <w:r w:rsidRPr="00B1276D">
          <w:rPr>
            <w:rFonts w:ascii="Times New Roman" w:hAnsi="Times New Roman" w:cs="Times New Roman"/>
            <w:color w:val="000000"/>
          </w:rPr>
          <w:t>1830</w:t>
        </w:r>
      </w:hyperlink>
      <w:r w:rsidRPr="00B1276D">
        <w:rPr>
          <w:rFonts w:ascii="Times New Roman" w:hAnsi="Times New Roman" w:cs="Times New Roman"/>
          <w:color w:val="000000"/>
        </w:rPr>
        <w:t xml:space="preserve"> και αποτελεί την  πρώτη επίσημη διεθνή διπλωματική πράξη που αναγνώριζε την </w:t>
      </w:r>
      <w:hyperlink r:id="rId3" w:history="1">
        <w:r w:rsidRPr="00B1276D">
          <w:rPr>
            <w:rFonts w:ascii="Times New Roman" w:hAnsi="Times New Roman" w:cs="Times New Roman"/>
            <w:color w:val="000000"/>
          </w:rPr>
          <w:t>Ελλάδα</w:t>
        </w:r>
      </w:hyperlink>
      <w:r w:rsidRPr="00B1276D">
        <w:rPr>
          <w:rFonts w:ascii="Times New Roman" w:hAnsi="Times New Roman" w:cs="Times New Roman"/>
          <w:color w:val="000000"/>
        </w:rPr>
        <w:t xml:space="preserve"> ως κυρίαρχο και ανεξάρτητο κράτος με  σύνορά που εκτείνονταν  νότια της γραμμής που όριζαν οι ποταμοί </w:t>
      </w:r>
      <w:hyperlink r:id="rId4" w:history="1">
        <w:r w:rsidRPr="00B1276D">
          <w:rPr>
            <w:rFonts w:ascii="Times New Roman" w:hAnsi="Times New Roman" w:cs="Times New Roman"/>
            <w:color w:val="000000"/>
          </w:rPr>
          <w:t>Αχελώος</w:t>
        </w:r>
      </w:hyperlink>
      <w:r w:rsidRPr="00B1276D">
        <w:rPr>
          <w:rFonts w:ascii="Times New Roman" w:hAnsi="Times New Roman" w:cs="Times New Roman"/>
          <w:color w:val="000000"/>
        </w:rPr>
        <w:t xml:space="preserve"> και </w:t>
      </w:r>
      <w:hyperlink r:id="rId5" w:history="1">
        <w:r w:rsidRPr="00B1276D">
          <w:rPr>
            <w:rFonts w:ascii="Times New Roman" w:hAnsi="Times New Roman" w:cs="Times New Roman"/>
            <w:color w:val="000000"/>
          </w:rPr>
          <w:t>Σπερχειός</w:t>
        </w:r>
      </w:hyperlink>
      <w:r w:rsidRPr="00B1276D">
        <w:rPr>
          <w:rFonts w:ascii="Times New Roman" w:hAnsi="Times New Roman" w:cs="Times New Roman"/>
          <w:color w:val="000000"/>
        </w:rPr>
        <w:t>, τη Συνθήκη  του Λονδίνου ( Μάϊος 1832), τη Συνθήκη</w:t>
      </w:r>
      <w:r w:rsidRPr="00B1276D">
        <w:rPr>
          <w:rFonts w:ascii="Times New Roman" w:hAnsi="Times New Roman" w:cs="Times New Roman"/>
          <w:b/>
          <w:bCs/>
          <w:color w:val="000000"/>
        </w:rPr>
        <w:t xml:space="preserve">  (</w:t>
      </w:r>
      <w:r w:rsidRPr="00B1276D">
        <w:rPr>
          <w:rFonts w:ascii="Times New Roman" w:hAnsi="Times New Roman" w:cs="Times New Roman"/>
          <w:color w:val="000000"/>
        </w:rPr>
        <w:t>σύμβαση) της Κωνσταντινούπολης (Καλεντέρ</w:t>
      </w:r>
      <w:r w:rsidRPr="00B1276D">
        <w:rPr>
          <w:rFonts w:ascii="Times New Roman" w:hAnsi="Times New Roman" w:cs="Times New Roman"/>
          <w:b/>
          <w:bCs/>
          <w:color w:val="000000"/>
        </w:rPr>
        <w:t xml:space="preserve"> </w:t>
      </w:r>
      <w:r w:rsidRPr="00B1276D">
        <w:rPr>
          <w:rFonts w:ascii="Times New Roman" w:hAnsi="Times New Roman" w:cs="Times New Roman"/>
          <w:color w:val="000000"/>
        </w:rPr>
        <w:t>Κιοσκ)  (Ιούνιος 1832) και το Πρωτόκολλο του Λονδίνου  (Αύγουστος 1831), επετεύχθη σταδιακά η οριστική αναγνώριση της ανεξαρτησίας  του ελληνικού κράτους (βασιλείου) , την οποία τελικά αναγκάσθηκε  να αποδεχτεί η Τουρκία, με προς βορρά σύνορα  την οριοθετική γραμμή Αμβρακικού – Παγασητικού, συμπεριλαμβανομένης  και της περιοχής της Λαμίας βόρεια του Σπερχειού.  Αποφασίστηκε τέλος  η εκλογή ως βασιλέα  του Όθωνα  δευτερότοκου γιού του βασιλιά της Βαυαρίας Λουδοβίκου από τη Συνθήκη του Λονδίνου  του Μαΐου 1832, την οποία επικύρωσε η Εθνοσυνέλευση της Πρόνοιας (Βλ. αναλυτικότερα Dakin D., «Η Ενοποίηση της Ελλάδος 1770 –</w:t>
      </w:r>
      <w:r w:rsidRPr="00B1276D">
        <w:rPr>
          <w:rFonts w:ascii="Times New Roman" w:hAnsi="Times New Roman" w:cs="Times New Roman"/>
          <w:color w:val="0000FF"/>
          <w:u w:val="single"/>
        </w:rPr>
        <w:t xml:space="preserve"> </w:t>
      </w:r>
      <w:r w:rsidRPr="00B1276D">
        <w:rPr>
          <w:rFonts w:ascii="Times New Roman" w:hAnsi="Times New Roman" w:cs="Times New Roman"/>
          <w:color w:val="000000"/>
        </w:rPr>
        <w:t>1923», Μορφωτικό Ίδρυμα  Εθνικής Τράπεζας, Αθήνα 1984, σελ. 104 – 107)</w:t>
      </w:r>
      <w:r w:rsidRPr="00B1276D">
        <w:rPr>
          <w:rFonts w:ascii="Times New Roman" w:hAnsi="Times New Roman" w:cs="Times New Roman"/>
          <w:color w:val="0000FF"/>
          <w:u w:val="single"/>
        </w:rPr>
        <w:t xml:space="preserve"> </w:t>
      </w:r>
      <w:r w:rsidRPr="00B1276D">
        <w:rPr>
          <w:rFonts w:ascii="Times New Roman" w:hAnsi="Times New Roman" w:cs="Times New Roman"/>
        </w:rPr>
        <w:t xml:space="preserve">συνθήκη </w:t>
      </w:r>
      <w:r w:rsidRPr="00B1276D">
        <w:rPr>
          <w:rFonts w:ascii="Times New Roman" w:hAnsi="Times New Roman" w:cs="Times New Roman"/>
          <w:noProof/>
        </w:rPr>
        <w:t xml:space="preserve"> </w:t>
      </w:r>
      <w:r w:rsidRPr="00B1276D">
        <w:rPr>
          <w:rFonts w:ascii="Times New Roman" w:hAnsi="Times New Roman" w:cs="Times New Roman"/>
        </w:rPr>
        <w:t xml:space="preserve"> </w:t>
      </w:r>
    </w:p>
  </w:footnote>
  <w:footnote w:id="2">
    <w:p w:rsidR="00FF2120" w:rsidRDefault="00FF2120" w:rsidP="00D56D9F">
      <w:pPr>
        <w:pStyle w:val="FootnoteText"/>
        <w:spacing w:after="0" w:line="240" w:lineRule="auto"/>
        <w:jc w:val="both"/>
      </w:pPr>
      <w:r w:rsidRPr="00C75D62">
        <w:rPr>
          <w:rStyle w:val="FootnoteReference"/>
          <w:rFonts w:cs="Arial"/>
        </w:rPr>
        <w:footnoteRef/>
      </w:r>
      <w:r w:rsidRPr="00C75D62">
        <w:t xml:space="preserve"> Βλ</w:t>
      </w:r>
      <w:r w:rsidRPr="00C75D62">
        <w:rPr>
          <w:b/>
        </w:rPr>
        <w:t>. Ν-Κ Χλέπα</w:t>
      </w:r>
      <w:r w:rsidRPr="00C75D62">
        <w:t xml:space="preserve">  «Η πολυβάθμια Αυτοδιοίκηση», Σάκκουλας. Αθήνα 1994, σελ 110  </w:t>
      </w:r>
      <w:r w:rsidRPr="00C75D62">
        <w:rPr>
          <w:b/>
        </w:rPr>
        <w:t>και Σ. Φλογαϊτη</w:t>
      </w:r>
      <w:r w:rsidRPr="00C75D62">
        <w:t xml:space="preserve"> «Το Ελληνικό Διοικητικό Σύστημα»  Σάκκουλας, Αθήνα , 1987, σελ.172</w:t>
      </w:r>
    </w:p>
  </w:footnote>
  <w:footnote w:id="3">
    <w:p w:rsidR="00FF2120" w:rsidRDefault="00FF2120" w:rsidP="00D56D9F">
      <w:pPr>
        <w:pStyle w:val="FootnoteText"/>
        <w:spacing w:after="0" w:line="240" w:lineRule="auto"/>
        <w:jc w:val="both"/>
      </w:pPr>
      <w:r w:rsidRPr="00C75D62">
        <w:rPr>
          <w:rStyle w:val="FootnoteReference"/>
          <w:rFonts w:cs="Arial"/>
        </w:rPr>
        <w:footnoteRef/>
      </w:r>
      <w:r w:rsidRPr="00C75D62">
        <w:t xml:space="preserve"> </w:t>
      </w:r>
      <w:r w:rsidRPr="00F04A08">
        <w:t>Βλ. σχ. Χρήστου Π. Κλειώση «Ιστορία της Τοπικής Αυτοδιοίκησης», Αθήνα 1977, σελ 590 επ</w:t>
      </w:r>
    </w:p>
  </w:footnote>
  <w:footnote w:id="4">
    <w:p w:rsidR="00FF2120" w:rsidRPr="00136E1E" w:rsidRDefault="00FF2120" w:rsidP="00F43A33">
      <w:pPr>
        <w:jc w:val="both"/>
        <w:rPr>
          <w:rFonts w:ascii="Times New Roman" w:hAnsi="Times New Roman" w:cs="Times New Roman"/>
        </w:rPr>
      </w:pPr>
      <w:r w:rsidRPr="00A316F5">
        <w:rPr>
          <w:rStyle w:val="FootnoteReference"/>
          <w:rFonts w:ascii="Times New Roman" w:hAnsi="Times New Roman"/>
        </w:rPr>
        <w:footnoteRef/>
      </w:r>
      <w:r w:rsidRPr="00A316F5">
        <w:rPr>
          <w:rFonts w:ascii="Times New Roman" w:hAnsi="Times New Roman" w:cs="Times New Roman"/>
        </w:rPr>
        <w:t xml:space="preserve"> Για την προσάρτηση εκδίδεται διάταγμα, μετά από γνώμη του συμβουλίου του άρθρου 8 του νόμου</w:t>
      </w:r>
      <w:r w:rsidRPr="00136E1E">
        <w:rPr>
          <w:rFonts w:ascii="Times New Roman" w:hAnsi="Times New Roman" w:cs="Times New Roman"/>
        </w:rPr>
        <w:t xml:space="preserve"> 1065/1980 και εισήγηση του νομάρχη.</w:t>
      </w:r>
    </w:p>
    <w:p w:rsidR="00FF2120" w:rsidRDefault="00FF2120" w:rsidP="00F43A33">
      <w:pPr>
        <w:jc w:val="both"/>
      </w:pPr>
    </w:p>
  </w:footnote>
  <w:footnote w:id="5">
    <w:p w:rsidR="00FF2120" w:rsidRPr="00136E1E" w:rsidRDefault="00FF2120" w:rsidP="00F43A33">
      <w:pPr>
        <w:jc w:val="both"/>
        <w:rPr>
          <w:rFonts w:ascii="Times New Roman" w:hAnsi="Times New Roman" w:cs="Times New Roman"/>
        </w:rPr>
      </w:pPr>
      <w:r w:rsidRPr="00136E1E">
        <w:rPr>
          <w:rStyle w:val="FootnoteReference"/>
          <w:rFonts w:ascii="Times New Roman" w:hAnsi="Times New Roman"/>
        </w:rPr>
        <w:footnoteRef/>
      </w:r>
      <w:r w:rsidRPr="00136E1E">
        <w:rPr>
          <w:rFonts w:ascii="Times New Roman" w:hAnsi="Times New Roman" w:cs="Times New Roman"/>
        </w:rPr>
        <w:t xml:space="preserve"> Οι αρμοδιότητες των οργάνων των συνδέσμων εξαρτώνται από τον αριθμό των μελών τους. Ειδικότερα ο σύνδεσμος του οποίου το διοικητικό συμβούλιο έχει περισσότερα των ένδεκα μελών έχει τις αρμοδιότητες του δήμου και ισχύουν οι διατάξεις περί διοίκησης των δήμων, για διοικητικά δε συμβούλια ο αριθμός των οποίων είναι μικρότερος των ένδεκα μελών εφαρμόζονται οι διατάξεις περί των κοινοτήτων.</w:t>
      </w:r>
    </w:p>
    <w:p w:rsidR="00FF2120" w:rsidRDefault="00FF2120" w:rsidP="00F43A33">
      <w:pPr>
        <w:jc w:val="both"/>
      </w:pPr>
    </w:p>
  </w:footnote>
  <w:footnote w:id="6">
    <w:p w:rsidR="00FF2120" w:rsidRPr="00136E1E" w:rsidRDefault="00FF2120" w:rsidP="00F43A33">
      <w:pPr>
        <w:jc w:val="both"/>
        <w:rPr>
          <w:rFonts w:ascii="Times New Roman" w:hAnsi="Times New Roman" w:cs="Times New Roman"/>
        </w:rPr>
      </w:pPr>
      <w:r w:rsidRPr="00136E1E">
        <w:rPr>
          <w:rStyle w:val="FootnoteReference"/>
          <w:rFonts w:ascii="Times New Roman" w:hAnsi="Times New Roman"/>
        </w:rPr>
        <w:footnoteRef/>
      </w:r>
      <w:r w:rsidRPr="00136E1E">
        <w:rPr>
          <w:rFonts w:ascii="Times New Roman" w:hAnsi="Times New Roman" w:cs="Times New Roman"/>
        </w:rPr>
        <w:t xml:space="preserve"> Για τη σύσταση συνδέσμου δήμων ή κοινοτήτων ή δήμων και κοινοτήτων που έχουν κοινά ενδιαφέροντα και που υπάγονται στην περιφέρεια περισσότερων μη όμορων νομών για τη συμμετοχή ή αποχώρηση μέλους από το σύνδεσμο αυτόν για τη διεύρυνση των σκοπών ή για την παράταση της διάρκειας του συνδέσμου αυτού και γα τον καθορισμό της έδρας του, εκδίδεται απόφαση του Υπουργού Εσωτερικών. Την εποπτεία του συνδέσμου αυτού ασκεί ο Υπουργός Εσωτερικών.</w:t>
      </w:r>
    </w:p>
    <w:p w:rsidR="00FF2120" w:rsidRDefault="00FF2120" w:rsidP="00F43A33">
      <w:pPr>
        <w:jc w:val="both"/>
      </w:pPr>
    </w:p>
  </w:footnote>
  <w:footnote w:id="7">
    <w:p w:rsidR="00FF2120" w:rsidRPr="00A316F5" w:rsidRDefault="00FF2120" w:rsidP="00F43A33">
      <w:pPr>
        <w:jc w:val="both"/>
        <w:rPr>
          <w:rFonts w:ascii="Times New Roman" w:hAnsi="Times New Roman" w:cs="Times New Roman"/>
        </w:rPr>
      </w:pPr>
      <w:r w:rsidRPr="00F67FB6">
        <w:rPr>
          <w:rStyle w:val="FootnoteReference"/>
          <w:rFonts w:cs="Arial"/>
        </w:rPr>
        <w:footnoteRef/>
      </w:r>
      <w:r w:rsidRPr="00F67FB6">
        <w:t xml:space="preserve"> </w:t>
      </w:r>
      <w:r w:rsidRPr="00A316F5">
        <w:rPr>
          <w:rFonts w:ascii="Times New Roman" w:hAnsi="Times New Roman" w:cs="Times New Roman"/>
        </w:rPr>
        <w:t>Για την εκπλήρωση των σκοπών των συνδέσμων  επιτρέπεται η αναγκαστική απαλλοτρίωση αστικών ή αγροτικών ακινήτων ή η σύσταση δουλείας σε βάρος τους, υπέρ συνδέσμων δήμων και κοινοτήτων για δημόσια ωφέλεια.</w:t>
      </w:r>
    </w:p>
    <w:p w:rsidR="00FF2120" w:rsidRDefault="00FF2120" w:rsidP="00F43A33">
      <w:pPr>
        <w:jc w:val="both"/>
      </w:pPr>
    </w:p>
  </w:footnote>
  <w:footnote w:id="8">
    <w:p w:rsidR="00FF2120" w:rsidRPr="00547959" w:rsidRDefault="00FF2120" w:rsidP="00F43A33">
      <w:pPr>
        <w:jc w:val="both"/>
        <w:rPr>
          <w:rFonts w:ascii="Times New Roman" w:hAnsi="Times New Roman" w:cs="Times New Roman"/>
        </w:rPr>
      </w:pPr>
      <w:r>
        <w:rPr>
          <w:rStyle w:val="FootnoteReference"/>
          <w:rFonts w:cs="Arial"/>
        </w:rPr>
        <w:footnoteRef/>
      </w:r>
      <w:r w:rsidRPr="00427C7C">
        <w:t xml:space="preserve"> </w:t>
      </w:r>
      <w:r w:rsidRPr="00547959">
        <w:rPr>
          <w:rFonts w:ascii="Times New Roman" w:hAnsi="Times New Roman" w:cs="Times New Roman"/>
        </w:rPr>
        <w:t>Η περιφέρεια, η ονομασία και η έδρα κάθε νομαρχιακής αυτοδιοίκησης είναι εκείνες που έχει ο νομός, εκτός εάν με προεδρικό διάταγμα που εκδίδεται με πρόταση των Υπουργών Εσωτερικών και Περιβάλλοντος, Χωροταξίας και Δημοσίων Έργων, μπορεί να καθορίζονται νομοί με περισσότερες από μία νομαρχιακές αυτοδιοικήσεις.</w:t>
      </w:r>
    </w:p>
    <w:p w:rsidR="00FF2120" w:rsidRDefault="00FF2120" w:rsidP="00F43A33">
      <w:pPr>
        <w:jc w:val="both"/>
      </w:pPr>
    </w:p>
  </w:footnote>
  <w:footnote w:id="9">
    <w:p w:rsidR="00FF2120" w:rsidRDefault="00FF2120" w:rsidP="00F43A33">
      <w:pPr>
        <w:pStyle w:val="FootnoteText"/>
        <w:spacing w:after="0" w:line="240" w:lineRule="auto"/>
        <w:jc w:val="both"/>
      </w:pPr>
      <w:r w:rsidRPr="00C75D62">
        <w:rPr>
          <w:rStyle w:val="FootnoteReference"/>
          <w:rFonts w:cs="Arial"/>
        </w:rPr>
        <w:footnoteRef/>
      </w:r>
      <w:r w:rsidRPr="00C75D62">
        <w:t xml:space="preserve"> βλ. σχετικά </w:t>
      </w:r>
      <w:r w:rsidRPr="00C75D62">
        <w:rPr>
          <w:b/>
        </w:rPr>
        <w:t>Ν-Κ. Χλέπας</w:t>
      </w:r>
      <w:r w:rsidRPr="00C75D62">
        <w:t>,Η πολυβάθμια Αυτοδιοίκηση, όπ. π, σελ. 348.</w:t>
      </w:r>
    </w:p>
  </w:footnote>
  <w:footnote w:id="10">
    <w:p w:rsidR="00FF2120" w:rsidRDefault="00FF2120" w:rsidP="00F43A33">
      <w:pPr>
        <w:pStyle w:val="FootnoteText"/>
        <w:spacing w:after="0" w:line="240" w:lineRule="auto"/>
        <w:jc w:val="both"/>
      </w:pPr>
      <w:r w:rsidRPr="00C75D62">
        <w:rPr>
          <w:rStyle w:val="FootnoteReference"/>
          <w:rFonts w:cs="Arial"/>
        </w:rPr>
        <w:footnoteRef/>
      </w:r>
      <w:r w:rsidRPr="00C75D62">
        <w:t xml:space="preserve"> Εξαιρούνται των αρμοδιοτήτων θέματα δημόσιας περιουσίας και οι αρμοδιότητες α) των Υπουργείων Εθνικής Άμυνας, Εξωτερικών, Οικονομικών, β) της εποπτείας των ΟΤΑ α΄ βαθμού, γ) της Γ.Γ. ΕΣΥΕ και δ) των Συνοριακών Σταθμών Υγειονομικού Κτηνιατρικού Ελέγχου. Ν. 2218/94,  άρθρο 3</w:t>
      </w:r>
    </w:p>
  </w:footnote>
  <w:footnote w:id="11">
    <w:p w:rsidR="00FF2120" w:rsidRDefault="00FF2120" w:rsidP="00934E44">
      <w:r w:rsidRPr="00DB2DCC">
        <w:rPr>
          <w:vertAlign w:val="superscript"/>
        </w:rPr>
        <w:footnoteRef/>
      </w:r>
      <w:r w:rsidRPr="00B9574E">
        <w:t xml:space="preserve">       </w:t>
      </w:r>
      <w:r w:rsidRPr="00F04A08">
        <w:rPr>
          <w:rFonts w:ascii="Times New Roman" w:hAnsi="Times New Roman" w:cs="Times New Roman"/>
        </w:rPr>
        <w:t>Ε.τ.Κ τ. 12/1833</w:t>
      </w:r>
    </w:p>
  </w:footnote>
  <w:footnote w:id="12">
    <w:p w:rsidR="00FF2120" w:rsidRDefault="00FF2120" w:rsidP="00934E44">
      <w:pPr>
        <w:pStyle w:val="FootnoteText"/>
        <w:spacing w:after="0" w:line="240" w:lineRule="auto"/>
        <w:jc w:val="both"/>
      </w:pPr>
      <w:r w:rsidRPr="00F04A08">
        <w:rPr>
          <w:rStyle w:val="FootnoteReference"/>
          <w:rFonts w:ascii="Times New Roman" w:hAnsi="Times New Roman" w:cs="Arial"/>
        </w:rPr>
        <w:footnoteRef/>
      </w:r>
      <w:r w:rsidRPr="00F04A08">
        <w:rPr>
          <w:rFonts w:ascii="Times New Roman" w:hAnsi="Times New Roman"/>
        </w:rPr>
        <w:t xml:space="preserve"> Πρόκειται για του νομούς, 1) Αργολίδας και Κορινθίας με  Μητρόπολη του νομού την Ναυπλία 2)Αχαΐας και Ήλιδος. Μητρόπολη του νομού «οι Πάτραι» 3) Μεσσηνίας. Μητρόπολη του νομού η πόλις Αρκαδία(Κυπαρισσία) 4) Αρκαδίας. Μητρόπολη του νομού η Τριπολιτσά(Τρίπολις) 5)  Λακωνίας. Μητρόπολη του νομού ο «Μιςράς»(Σπάρτη)  6) Ακαρνανίας  και Αιτωλίας. Μητρόπολη του νομού το Βλαχώρι «Αγρίνιον)  7) Φωκίδος και Λοκρίδος. Μητρόπολη του νομού Σάλωνα(Άμφισσα) 8)Αττικής και Βοιωτίας. Μητρόπολη του νομού «αι Αθήναι» 9) Εύβοιας. Μητρόπολη του νομού η Χαλκίςκαι, 10)  Κυκλάδων. Μητρόπολη του νομού η Ερμούπολις ρπί της Σύρου.</w:t>
      </w:r>
    </w:p>
  </w:footnote>
  <w:footnote w:id="13">
    <w:p w:rsidR="00FF2120" w:rsidRPr="00A316F5" w:rsidRDefault="00FF2120" w:rsidP="00F26733">
      <w:pPr>
        <w:jc w:val="both"/>
        <w:rPr>
          <w:rFonts w:ascii="Times New Roman" w:hAnsi="Times New Roman" w:cs="Times New Roman"/>
        </w:rPr>
      </w:pPr>
      <w:r w:rsidRPr="00A316F5">
        <w:rPr>
          <w:rStyle w:val="FootnoteReference"/>
          <w:rFonts w:ascii="Times New Roman" w:hAnsi="Times New Roman" w:cs="Arial"/>
        </w:rPr>
        <w:footnoteRef/>
      </w:r>
      <w:r w:rsidRPr="00A316F5">
        <w:rPr>
          <w:rFonts w:ascii="Times New Roman" w:hAnsi="Times New Roman" w:cs="Times New Roman"/>
        </w:rPr>
        <w:t xml:space="preserve"> </w:t>
      </w:r>
      <w:r w:rsidRPr="00A316F5">
        <w:rPr>
          <w:rFonts w:ascii="Times New Roman" w:hAnsi="Times New Roman" w:cs="Times New Roman"/>
          <w:b/>
        </w:rPr>
        <w:t>Με το Ν.Δ.</w:t>
      </w:r>
      <w:r w:rsidRPr="00A316F5">
        <w:rPr>
          <w:rFonts w:ascii="Times New Roman" w:hAnsi="Times New Roman" w:cs="Times New Roman"/>
          <w:b/>
          <w:color w:val="0000FF"/>
        </w:rPr>
        <w:t xml:space="preserve"> </w:t>
      </w:r>
      <w:r w:rsidRPr="00A316F5">
        <w:rPr>
          <w:rFonts w:ascii="Times New Roman" w:hAnsi="Times New Roman" w:cs="Times New Roman"/>
        </w:rPr>
        <w:t>3436/1955 καθορίζεται το καθεστώς των νομαρχών και των επάρχων και προσδιορίζονται οι αρμοδιότητες αυτών</w:t>
      </w:r>
    </w:p>
    <w:p w:rsidR="00FF2120" w:rsidRDefault="00FF2120" w:rsidP="00F26733">
      <w:pPr>
        <w:jc w:val="both"/>
      </w:pPr>
    </w:p>
  </w:footnote>
  <w:footnote w:id="14">
    <w:p w:rsidR="00FF2120" w:rsidRPr="00136E1E" w:rsidRDefault="00FF2120" w:rsidP="00F26733">
      <w:pPr>
        <w:jc w:val="both"/>
        <w:rPr>
          <w:rFonts w:ascii="Times New Roman" w:hAnsi="Times New Roman" w:cs="Times New Roman"/>
        </w:rPr>
      </w:pPr>
      <w:r>
        <w:rPr>
          <w:rStyle w:val="FootnoteReference"/>
          <w:rFonts w:cs="Arial"/>
        </w:rPr>
        <w:footnoteRef/>
      </w:r>
      <w:r w:rsidRPr="009F6320">
        <w:t xml:space="preserve"> </w:t>
      </w:r>
      <w:r w:rsidRPr="00136E1E">
        <w:rPr>
          <w:rFonts w:ascii="Times New Roman" w:hAnsi="Times New Roman" w:cs="Times New Roman"/>
        </w:rPr>
        <w:t>Σε κάθε Νομαρχία συνιστάται ειδική υπηρεσία δημοσίου λογιστικού αντικείμενο</w:t>
      </w:r>
      <w:r w:rsidRPr="00136E1E">
        <w:rPr>
          <w:rFonts w:ascii="Times New Roman" w:hAnsi="Times New Roman" w:cs="Times New Roman"/>
          <w:sz w:val="24"/>
          <w:szCs w:val="24"/>
        </w:rPr>
        <w:t xml:space="preserve"> </w:t>
      </w:r>
      <w:r w:rsidRPr="00136E1E">
        <w:rPr>
          <w:rFonts w:ascii="Times New Roman" w:hAnsi="Times New Roman" w:cs="Times New Roman"/>
        </w:rPr>
        <w:t>της οποίας αποτελεί η εισήγηση προς τον νομάρχη επί προτάσεων των υπηρεσιών της νομαρχίας,</w:t>
      </w:r>
      <w:r w:rsidRPr="00136E1E">
        <w:rPr>
          <w:rFonts w:ascii="Times New Roman" w:hAnsi="Times New Roman" w:cs="Times New Roman"/>
          <w:sz w:val="24"/>
          <w:szCs w:val="24"/>
        </w:rPr>
        <w:t xml:space="preserve"> </w:t>
      </w:r>
      <w:r w:rsidRPr="00136E1E">
        <w:rPr>
          <w:rFonts w:ascii="Times New Roman" w:hAnsi="Times New Roman" w:cs="Times New Roman"/>
        </w:rPr>
        <w:t>για την έγκριση των δαπανών από το νομάρχη ως διατάκτη, καθώς και η εκκαθάριση και εντολή πληρωμής των απανών αυτών. Η Υπηρεσία δημόσιου λογιστικού εισηγείται, επίσης, προς τον</w:t>
      </w:r>
      <w:r w:rsidRPr="009F6320">
        <w:t xml:space="preserve"> </w:t>
      </w:r>
      <w:r w:rsidRPr="00136E1E">
        <w:rPr>
          <w:rFonts w:ascii="Times New Roman" w:hAnsi="Times New Roman" w:cs="Times New Roman"/>
        </w:rPr>
        <w:t>νομάρχη, από κοινού με τις</w:t>
      </w:r>
      <w:r w:rsidRPr="009F6320">
        <w:t xml:space="preserve"> </w:t>
      </w:r>
      <w:r w:rsidRPr="00136E1E">
        <w:rPr>
          <w:rFonts w:ascii="Times New Roman" w:hAnsi="Times New Roman" w:cs="Times New Roman"/>
        </w:rPr>
        <w:t>λοιπές αρμόδιες υπηρεσίες του νομού, για κάθε απόφαση που προκαλεί δαπάνη του προϋπολογισμού των εξόδων ή ελάττωση των εσόδων, προσυπογράφει δε τα σχέδια των αποφάσεων που υποβάλλονται στο νομάρχη ο προίστάμενος της αντίστοιχης υπηρεσίας.</w:t>
      </w:r>
    </w:p>
    <w:p w:rsidR="00FF2120" w:rsidRDefault="00FF2120" w:rsidP="00F26733">
      <w:pPr>
        <w:jc w:val="both"/>
      </w:pPr>
    </w:p>
  </w:footnote>
  <w:footnote w:id="15">
    <w:p w:rsidR="00FF2120" w:rsidRPr="00136E1E" w:rsidRDefault="00FF2120" w:rsidP="00F26733">
      <w:pPr>
        <w:jc w:val="both"/>
        <w:rPr>
          <w:rFonts w:ascii="Times New Roman" w:hAnsi="Times New Roman" w:cs="Times New Roman"/>
        </w:rPr>
      </w:pPr>
      <w:r w:rsidRPr="00136E1E">
        <w:rPr>
          <w:rStyle w:val="FootnoteReference"/>
          <w:rFonts w:ascii="Times New Roman" w:hAnsi="Times New Roman" w:cs="Arial"/>
        </w:rPr>
        <w:footnoteRef/>
      </w:r>
      <w:r w:rsidRPr="00136E1E">
        <w:rPr>
          <w:rFonts w:ascii="Times New Roman" w:hAnsi="Times New Roman" w:cs="Times New Roman"/>
        </w:rPr>
        <w:t xml:space="preserve"> Σε κάθε νομαρχία καθίσταται Επίτροπος του Ελεγκτικού Συνεδρίου, με αρμοδιότητα την άσκηση προληπτικού ελέγχου επί των εντελλομένων από αυτόν εξόδων του κράτους. Έχει, επίσης, όλες τις αρμοδιότητες των Επιτρόπων του Συνεδρίου των Γενικών Διοικήσεων. Ο επίτοπος είναι υπόλογος έναντι του Ελεγκτικού Συνεδρίου για την εν γένει εκτέλεση των καθηκόντων του. Καθήκοντα Επιτρόπου ανατίθενται και στον Διευθυντή της Οικονομικής Εφορίας ή στο νόμιμο αναπληρωτή του της έδρας κάθε νομαρχίας, ο οποίος ασκεί τα καθήκοντα αυτά σύμφωνα με τις διατάξεις περί του Επιτρόπου του Ελεγκτικού Συνεδρίου. </w:t>
      </w:r>
    </w:p>
    <w:p w:rsidR="00FF2120" w:rsidRDefault="00FF2120" w:rsidP="00F26733">
      <w:pPr>
        <w:jc w:val="both"/>
      </w:pPr>
    </w:p>
  </w:footnote>
  <w:footnote w:id="16">
    <w:p w:rsidR="00FF2120" w:rsidRPr="00136E1E" w:rsidRDefault="00FF2120" w:rsidP="00F26733">
      <w:pPr>
        <w:jc w:val="both"/>
        <w:rPr>
          <w:rFonts w:ascii="Times New Roman" w:hAnsi="Times New Roman" w:cs="Times New Roman"/>
        </w:rPr>
      </w:pPr>
      <w:r w:rsidRPr="00136E1E">
        <w:rPr>
          <w:rStyle w:val="FootnoteReference"/>
          <w:rFonts w:ascii="Times New Roman" w:hAnsi="Times New Roman" w:cs="Arial"/>
        </w:rPr>
        <w:footnoteRef/>
      </w:r>
      <w:r w:rsidRPr="00136E1E">
        <w:rPr>
          <w:rFonts w:ascii="Times New Roman" w:hAnsi="Times New Roman" w:cs="Times New Roman"/>
        </w:rPr>
        <w:t xml:space="preserve"> Αποτελείται από α) τον Πρόεδρο του Συμβουλίου Επικραείας, ως πρόεδρο, β) τον Πρόεδρο του Ανωτάτου Συμβουλίου Δημοσίων Υπηρεσιών, ως αντιπρόεδρο, γ) τον Γενικό Γραμματέα του Υπουργείου Εσωτερικών, δ) ενός ή δύο μελών του Συμβουλίου Επικρατείας, ε) ενός μέλους του Ελεγκτικού Συνεδρίου, στ) ενός μέλους του Νομικού Συμβουλίου του Κράτους, ζ) ενός ή δύο Καθηγητών Ανωτάτων Σχολών του Δημοσίου Δικαίου, η) του Γενικού Διευθυντή της ΙΙΙ Γενικής Διεύθυνσης Διοικητικής Οργάνωσης του Υπουργείου Συντονισμού, θ) του Γενικού Διευθυντή της Α΄γενικής Διεύθυνσης του Υπουργείου Εσωτερικών, ι) του γενικού Διευθυντή της Γενικής Διεύθυνσης Δημοσίου Λογιστικού και ια) μέχρι τεσσάρων ατόμων που ορίζονται με απόφαση του Προέδρου της Κυβέρνησης.</w:t>
      </w:r>
    </w:p>
    <w:p w:rsidR="00FF2120" w:rsidRDefault="00FF2120" w:rsidP="00F26733">
      <w:pPr>
        <w:jc w:val="both"/>
      </w:pPr>
    </w:p>
  </w:footnote>
  <w:footnote w:id="17">
    <w:p w:rsidR="00FF2120" w:rsidRPr="00A316F5" w:rsidRDefault="00FF2120" w:rsidP="007510CC">
      <w:pPr>
        <w:jc w:val="both"/>
        <w:rPr>
          <w:rFonts w:ascii="Times New Roman" w:hAnsi="Times New Roman" w:cs="Times New Roman"/>
        </w:rPr>
      </w:pPr>
      <w:r w:rsidRPr="00A316F5">
        <w:rPr>
          <w:rStyle w:val="FootnoteReference"/>
          <w:rFonts w:ascii="Times New Roman" w:hAnsi="Times New Roman" w:cs="Arial"/>
        </w:rPr>
        <w:footnoteRef/>
      </w:r>
      <w:r w:rsidRPr="00A316F5">
        <w:rPr>
          <w:rFonts w:ascii="Times New Roman" w:hAnsi="Times New Roman" w:cs="Times New Roman"/>
        </w:rPr>
        <w:t xml:space="preserve"> Αποτελείται από : α) Το Γενικό Γραμματέα της Περιφέρειας, ως Πρόεδρο.  β) Τους Προέδρους των Ενιαίων Νομαρχιακών Αυτοδιοικήσεων και τους Νομάρχες της Περιφέρειας.  γ) Εναν εκπρόσωπο από κάθε τοπική ένωση δήμων και κοινοτήτων που περιλαμβάνει η</w:t>
      </w:r>
      <w:r w:rsidRPr="006E2BA9">
        <w:t xml:space="preserve"> </w:t>
      </w:r>
      <w:r w:rsidRPr="00A316F5">
        <w:rPr>
          <w:rFonts w:ascii="Times New Roman" w:hAnsi="Times New Roman" w:cs="Times New Roman"/>
        </w:rPr>
        <w:t>Περιφέρεια, ο οποίος εκλέγεται, μαζί</w:t>
      </w:r>
      <w:r w:rsidRPr="006E2BA9">
        <w:t xml:space="preserve"> </w:t>
      </w:r>
      <w:r w:rsidRPr="00A316F5">
        <w:rPr>
          <w:rFonts w:ascii="Times New Roman" w:hAnsi="Times New Roman" w:cs="Times New Roman"/>
        </w:rPr>
        <w:t xml:space="preserve">με τον αναπληρωτή του, από τη διοικούσα επιτροπή της Τ.Ε.Δ.Κ.  δ) Εναν εκπρόσωπο της περιφερειακής Οργάνωσης καθενός των παρακάτω φορέων :- των Επιμελητηρίων των παραγωγικών τάξεων, - του Τεχνικού Επιμελητηρίου Ελλάδος, - του Γεωτεχνικού Επιμελητηρίου Ελλάδος,  - του Οικονομικού Επιμελητηρίου Ελλάδος, - της Α.Δ.Ε.Δ.Υ., - της ΠΑ.Σ.Ε.Γ.Ε.Σ., - της Γ.Σ.Ε.Ε. Οπου δεν υφίσταται περιφερειακή Οργάνωση ή η τοπική αρμοδιότητά της καλύπτει μέρος μόνο της χωρικής αρμοδιότητας της Περιφέρειας, οι εκπρόσωποι ορίζονται από τις νομαρχιακές οργανώσεις του φορέα. Ο τρόπος και η διαδικασία ορισμού καθορίζονται από το αρμόδιο συλλογικό όργανο Διοίκησης του κάθε φορέα. Στις συνεδριάσεις του Περιφερειακού Συμβουλίου συμμετέχει άνευ ψήφουο Γενικός Διευθυντής της Περιφέρειας. Κατ΄ εξαίρεση τα Περιφερειακά Συμβούλια των Περιφερειών Αττικής, Κεντρικής Μακεδονίας, Δυτικής Ελλάδας, Βορείου Αιγαίου και Νοτίου Αιγαίου αποτελούνται  επιπλέον, - όσον αφορά το Περιφερειακό Συμβούλιο της Περιφέρειας Αττικής, επιπλέον των ως άνω και από :α. Τους Δημάρχους Αθηναίων και Πειραιώς. β. Τον Πρόεδρο της Εκτελεστικής Επιτροπής του Οργανισμού Αθήνας.  γ. Εναν εκπρόσωπο :(1) του Εμπορικού και Βιομηχανικού Επιμελητηρίου Αθήνας,  (2) του Βιοτεχνικού Επιμελητηρίου Αθήνας, (3) του Συνδέσμου Βιομηχάνων Αττικής και Πειραιώς και (4) της Γενικής Συνομοσπονδίας Επαγγελματιών - Βιοτεχνών Ελλάδος. δ. Τρεις εκπροσώπους της τοπικής ένωσης δήμων και κοινοτήτων νομού Αττικής. ε. Τον πρόεδρο του συμβουλίου της Ενιαίας Νομαρχιακής ΑυτοΔιοίκησης Αθηνών-Πειραιώς. - όσον αφορά τα Περιφερειακά Συμβούλια των Περιφερειών Δυτικής Ελλάδας, Βορείου Αιγαίου και Νοτίου Αιγαίου, επιπλέον των ως άνω και :α. τους δημάρχους των δήμων που είναι πρωτεύουσες των νομών της Περιφέρειας, β. τους προέδρους των νομαρχιακών συμβουλίων των νομαρχιακών αυτοδιοικήσεων της Περιφέρειας.  - όσον αφορά το Περιφερειακό Συμβούλιο της Περιφέρειας Κεντρικής Μακεδονίας από : α. Το Δήμαρχο Θεσσαλονίκης,  β. Τον Πρόεδρο της Εκτελεστικής Επιτροπής του Οργανισμού Θεσσαλονίκης. </w:t>
      </w:r>
    </w:p>
    <w:p w:rsidR="00FF2120" w:rsidRDefault="00FF2120" w:rsidP="007510CC">
      <w:pPr>
        <w:jc w:val="both"/>
      </w:pPr>
    </w:p>
  </w:footnote>
  <w:footnote w:id="18">
    <w:p w:rsidR="00FF2120" w:rsidRDefault="00FF2120" w:rsidP="00F43A33">
      <w:pPr>
        <w:pStyle w:val="FootnoteText"/>
        <w:spacing w:after="0" w:line="240" w:lineRule="auto"/>
        <w:jc w:val="both"/>
      </w:pPr>
      <w:r w:rsidRPr="00A316F5">
        <w:rPr>
          <w:rStyle w:val="FootnoteReference"/>
          <w:rFonts w:ascii="Times New Roman" w:hAnsi="Times New Roman" w:cs="Arial"/>
        </w:rPr>
        <w:footnoteRef/>
      </w:r>
      <w:r w:rsidRPr="00A316F5">
        <w:rPr>
          <w:rFonts w:ascii="Times New Roman" w:hAnsi="Times New Roman"/>
        </w:rPr>
        <w:t xml:space="preserve"> Π.Δ 370/1995, «προσαρμογή της Ελληνικής νομοθεσίας περί προμηθειών του Δημοσίου προς το Κοινοτικό δίκαιο, ειδικότερα προς τις διατάξεις της Οδηγίας του Συμβουλίου της Ευρωπαϊκής Ένωσης 93/36/ΕΕ της 14</w:t>
      </w:r>
      <w:r w:rsidRPr="00A316F5">
        <w:rPr>
          <w:rFonts w:ascii="Times New Roman" w:hAnsi="Times New Roman"/>
          <w:vertAlign w:val="superscript"/>
        </w:rPr>
        <w:t>ης</w:t>
      </w:r>
      <w:r w:rsidRPr="00A316F5">
        <w:rPr>
          <w:rFonts w:ascii="Times New Roman" w:hAnsi="Times New Roman"/>
        </w:rPr>
        <w:t xml:space="preserve"> Ιουνίου 1993 περί συντονισμού των διαδικασιών για τη σύναψη συμβάσεων δημοσίων προμηθειών» ΕτΚ τ.Α΄199 και Π.Δ 346/1998, «Προσαρμογή της Ελληνικής νομοθεσίας για τις δημόσιες συμβάσεις υπηρεσιών προς τις διατάξεις της Οδηγίας 92/50/ΕΟΚ του Συμβουλίου της 18</w:t>
      </w:r>
      <w:r w:rsidRPr="00A316F5">
        <w:rPr>
          <w:rFonts w:ascii="Times New Roman" w:hAnsi="Times New Roman"/>
          <w:vertAlign w:val="superscript"/>
        </w:rPr>
        <w:t>ης</w:t>
      </w:r>
      <w:r w:rsidRPr="00A316F5">
        <w:rPr>
          <w:rFonts w:ascii="Times New Roman" w:hAnsi="Times New Roman"/>
        </w:rPr>
        <w:t xml:space="preserve"> ιουνίου 1992» ΕτΚ τ.Α΄230, Ν.3316/2005 «Ανάθεση και εκτέλεση δημοσίων συμβάσεων εκπόνησης μελετών καιπαροχής συναφών υπηρεσιών και άλλες διατάξεις», ΕτΚ τ.Α΄42, Ν. 3389/2005 «Συμπράξεις δημόσιου και ιδιωτικού τομέα», ΕτΚ τ.Α΄232.</w:t>
      </w:r>
    </w:p>
  </w:footnote>
  <w:footnote w:id="19">
    <w:p w:rsidR="00FF2120" w:rsidRDefault="00FF2120" w:rsidP="00F43A33">
      <w:pPr>
        <w:pStyle w:val="FootnoteText"/>
        <w:spacing w:after="0" w:line="240" w:lineRule="auto"/>
        <w:jc w:val="both"/>
      </w:pPr>
      <w:r w:rsidRPr="00A316F5">
        <w:rPr>
          <w:rStyle w:val="FootnoteReference"/>
          <w:rFonts w:ascii="Times New Roman" w:hAnsi="Times New Roman" w:cs="Arial"/>
        </w:rPr>
        <w:footnoteRef/>
      </w:r>
      <w:r w:rsidRPr="00A316F5">
        <w:rPr>
          <w:rFonts w:ascii="Times New Roman" w:hAnsi="Times New Roman"/>
        </w:rPr>
        <w:t xml:space="preserve"> Αναφέρονται ενδεικτικά: ΣτΕ 538/2002, ΣτΕ 585/2002, ΣτΕ 3787/2001.</w:t>
      </w:r>
    </w:p>
  </w:footnote>
  <w:footnote w:id="20">
    <w:p w:rsidR="00FF2120" w:rsidRDefault="00FF2120" w:rsidP="00F43A33">
      <w:pPr>
        <w:pStyle w:val="FootnoteText"/>
        <w:spacing w:after="0" w:line="240" w:lineRule="auto"/>
      </w:pPr>
      <w:r w:rsidRPr="00812211">
        <w:rPr>
          <w:rStyle w:val="FootnoteReference"/>
          <w:rFonts w:ascii="Times New Roman" w:hAnsi="Times New Roman" w:cs="Arial"/>
          <w:sz w:val="22"/>
          <w:szCs w:val="22"/>
        </w:rPr>
        <w:footnoteRef/>
      </w:r>
      <w:r w:rsidRPr="00812211">
        <w:rPr>
          <w:rFonts w:ascii="Times New Roman" w:hAnsi="Times New Roman"/>
          <w:sz w:val="22"/>
          <w:szCs w:val="22"/>
        </w:rPr>
        <w:t xml:space="preserve"> </w:t>
      </w:r>
      <w:r w:rsidRPr="00812211">
        <w:rPr>
          <w:rFonts w:ascii="Times New Roman" w:hAnsi="Times New Roman"/>
        </w:rPr>
        <w:t>Π.Δ 23/2002 «Αρμοδιότητες, σύστημα πρόσληψης, προσόντα, καθήκοντα, δικαιώματα και υποχρεώσεις του προσωπικού της δημοτικής αστυνομίας», ΕτΚ τ.Α΄19, Π.Δ 51/2006 «Όροι και προϋποθέσεις λειτουργίας των λαϊκών αγορών», ΕτΚ τ.Α΄53.</w:t>
      </w:r>
    </w:p>
  </w:footnote>
  <w:footnote w:id="21">
    <w:p w:rsidR="00FF2120" w:rsidRDefault="00FF2120" w:rsidP="00F43A33">
      <w:pPr>
        <w:pStyle w:val="FootnoteText"/>
        <w:spacing w:after="0" w:line="240" w:lineRule="auto"/>
      </w:pPr>
      <w:r w:rsidRPr="00812211">
        <w:rPr>
          <w:rStyle w:val="FootnoteReference"/>
          <w:rFonts w:ascii="Times New Roman" w:hAnsi="Times New Roman" w:cs="Arial"/>
        </w:rPr>
        <w:footnoteRef/>
      </w:r>
      <w:r w:rsidRPr="00812211">
        <w:rPr>
          <w:rFonts w:ascii="Times New Roman" w:hAnsi="Times New Roman"/>
        </w:rPr>
        <w:t xml:space="preserve"> Πρβλ. ανωτέρω νομοθεσία για την διενέργεια προμηθειών και ανάθεση υπηρεσιών</w:t>
      </w:r>
    </w:p>
  </w:footnote>
  <w:footnote w:id="22">
    <w:p w:rsidR="00FF2120" w:rsidRPr="000F3FA0" w:rsidRDefault="00FF2120" w:rsidP="00FD6113">
      <w:pPr>
        <w:pStyle w:val="FootnoteText"/>
        <w:jc w:val="both"/>
        <w:rPr>
          <w:rFonts w:cs="Calibri"/>
          <w:sz w:val="18"/>
          <w:szCs w:val="18"/>
        </w:rPr>
      </w:pPr>
      <w:r w:rsidRPr="000F3FA0">
        <w:rPr>
          <w:rStyle w:val="FootnoteReference"/>
          <w:rFonts w:cs="Calibri"/>
          <w:sz w:val="18"/>
          <w:szCs w:val="18"/>
        </w:rPr>
        <w:footnoteRef/>
      </w:r>
      <w:r w:rsidRPr="000F3FA0">
        <w:rPr>
          <w:rFonts w:cs="Calibri"/>
          <w:sz w:val="18"/>
          <w:szCs w:val="18"/>
        </w:rPr>
        <w:t xml:space="preserve">  Σύμφωνα με τη διάταξη του άρθρου 97 του ν.3852/2010, στον Οργανισμό Εσωτερικών Υπηρεσιών των δήμων εντάσσονται οι ακόλουθες διευθύνσεις:</w:t>
      </w:r>
    </w:p>
    <w:p w:rsidR="00FF2120" w:rsidRPr="000F3FA0" w:rsidRDefault="00FF2120" w:rsidP="00FD6113">
      <w:pPr>
        <w:jc w:val="both"/>
        <w:rPr>
          <w:rFonts w:cs="Calibri"/>
          <w:sz w:val="18"/>
          <w:szCs w:val="18"/>
        </w:rPr>
      </w:pPr>
      <w:r w:rsidRPr="000F3FA0">
        <w:rPr>
          <w:rFonts w:cs="Calibri"/>
          <w:sz w:val="18"/>
          <w:szCs w:val="18"/>
        </w:rPr>
        <w:t>α) Προγραμματισμού και Ανάπτυξης</w:t>
      </w:r>
    </w:p>
    <w:p w:rsidR="00FF2120" w:rsidRPr="000F3FA0" w:rsidRDefault="00FF2120" w:rsidP="00FD6113">
      <w:pPr>
        <w:jc w:val="both"/>
        <w:rPr>
          <w:rFonts w:cs="Calibri"/>
          <w:sz w:val="18"/>
          <w:szCs w:val="18"/>
        </w:rPr>
      </w:pPr>
      <w:r w:rsidRPr="000F3FA0">
        <w:rPr>
          <w:rFonts w:cs="Calibri"/>
          <w:sz w:val="18"/>
          <w:szCs w:val="18"/>
        </w:rPr>
        <w:t>β) Οικονομική υπηρεσία</w:t>
      </w:r>
    </w:p>
    <w:p w:rsidR="00FF2120" w:rsidRPr="000F3FA0" w:rsidRDefault="00FF2120" w:rsidP="00FD6113">
      <w:pPr>
        <w:jc w:val="both"/>
        <w:rPr>
          <w:rFonts w:cs="Calibri"/>
          <w:sz w:val="18"/>
          <w:szCs w:val="18"/>
        </w:rPr>
      </w:pPr>
      <w:r w:rsidRPr="000F3FA0">
        <w:rPr>
          <w:rFonts w:cs="Calibri"/>
          <w:sz w:val="18"/>
          <w:szCs w:val="18"/>
        </w:rPr>
        <w:t>γ) Τεχνική υπηρεσία</w:t>
      </w:r>
    </w:p>
    <w:p w:rsidR="00FF2120" w:rsidRPr="000F3FA0" w:rsidRDefault="00FF2120" w:rsidP="00FD6113">
      <w:pPr>
        <w:jc w:val="both"/>
        <w:rPr>
          <w:rFonts w:cs="Calibri"/>
          <w:sz w:val="18"/>
          <w:szCs w:val="18"/>
        </w:rPr>
      </w:pPr>
      <w:r w:rsidRPr="000F3FA0">
        <w:rPr>
          <w:rFonts w:cs="Calibri"/>
          <w:sz w:val="18"/>
          <w:szCs w:val="18"/>
        </w:rPr>
        <w:t>δ) Τεχνολογίας, Πληροφορικής και Επικοινωνιών</w:t>
      </w:r>
    </w:p>
    <w:p w:rsidR="00FF2120" w:rsidRPr="000F3FA0" w:rsidRDefault="00FF2120" w:rsidP="00FD6113">
      <w:pPr>
        <w:jc w:val="both"/>
        <w:rPr>
          <w:rFonts w:cs="Calibri"/>
          <w:sz w:val="18"/>
          <w:szCs w:val="18"/>
        </w:rPr>
      </w:pPr>
      <w:r w:rsidRPr="000F3FA0">
        <w:rPr>
          <w:rFonts w:cs="Calibri"/>
          <w:sz w:val="18"/>
          <w:szCs w:val="18"/>
        </w:rPr>
        <w:t xml:space="preserve">ε) Διαφάνειας </w:t>
      </w:r>
    </w:p>
    <w:p w:rsidR="00FF2120" w:rsidRPr="000F3FA0" w:rsidRDefault="00FF2120" w:rsidP="00FD6113">
      <w:pPr>
        <w:jc w:val="both"/>
        <w:rPr>
          <w:rFonts w:cs="Calibri"/>
          <w:sz w:val="18"/>
          <w:szCs w:val="18"/>
        </w:rPr>
      </w:pPr>
      <w:r w:rsidRPr="000F3FA0">
        <w:rPr>
          <w:rFonts w:cs="Calibri"/>
          <w:sz w:val="18"/>
          <w:szCs w:val="18"/>
        </w:rPr>
        <w:t>στ) Νομικής υποστήριξης</w:t>
      </w:r>
    </w:p>
    <w:p w:rsidR="00FF2120" w:rsidRPr="000F3FA0" w:rsidRDefault="00FF2120" w:rsidP="00FD6113">
      <w:pPr>
        <w:jc w:val="both"/>
        <w:rPr>
          <w:rFonts w:cs="Calibri"/>
          <w:sz w:val="18"/>
          <w:szCs w:val="18"/>
        </w:rPr>
      </w:pPr>
      <w:r w:rsidRPr="000F3FA0">
        <w:rPr>
          <w:rFonts w:cs="Calibri"/>
          <w:sz w:val="18"/>
          <w:szCs w:val="18"/>
        </w:rPr>
        <w:t>ζ)Διοίκησης- Διαχείρισης ανθρώπινου δυναμικού</w:t>
      </w:r>
    </w:p>
    <w:p w:rsidR="00FF2120" w:rsidRPr="000F3FA0" w:rsidRDefault="00FF2120" w:rsidP="00FD6113">
      <w:pPr>
        <w:jc w:val="both"/>
        <w:rPr>
          <w:rFonts w:cs="Calibri"/>
          <w:sz w:val="18"/>
          <w:szCs w:val="18"/>
        </w:rPr>
      </w:pPr>
      <w:r w:rsidRPr="000F3FA0">
        <w:rPr>
          <w:rFonts w:cs="Calibri"/>
          <w:sz w:val="18"/>
          <w:szCs w:val="18"/>
        </w:rPr>
        <w:t>η) Άσκησης Κοινωνικής Πολιτικής και Πολιτικών Ισότητας των Φύλων</w:t>
      </w:r>
    </w:p>
    <w:p w:rsidR="00FF2120" w:rsidRPr="000F3FA0" w:rsidRDefault="00FF2120" w:rsidP="00FD6113">
      <w:pPr>
        <w:jc w:val="both"/>
        <w:rPr>
          <w:rFonts w:cs="Calibri"/>
          <w:sz w:val="18"/>
          <w:szCs w:val="18"/>
        </w:rPr>
      </w:pPr>
      <w:r w:rsidRPr="000F3FA0">
        <w:rPr>
          <w:rFonts w:cs="Calibri"/>
          <w:sz w:val="18"/>
          <w:szCs w:val="18"/>
        </w:rPr>
        <w:t>θ) Περιβάλλοντος- Πολιτικής Προστασίας</w:t>
      </w:r>
    </w:p>
    <w:p w:rsidR="00FF2120" w:rsidRPr="000F3FA0" w:rsidRDefault="00FF2120" w:rsidP="00FD6113">
      <w:pPr>
        <w:jc w:val="both"/>
        <w:rPr>
          <w:rFonts w:cs="Calibri"/>
          <w:sz w:val="18"/>
          <w:szCs w:val="18"/>
        </w:rPr>
      </w:pPr>
      <w:r w:rsidRPr="000F3FA0">
        <w:rPr>
          <w:rFonts w:cs="Calibri"/>
          <w:sz w:val="18"/>
          <w:szCs w:val="18"/>
        </w:rPr>
        <w:t xml:space="preserve">ι) Παιδείας, Πολιτισμού, Αθλητισμού, Νέας Γενιάς και </w:t>
      </w:r>
    </w:p>
    <w:p w:rsidR="00FF2120" w:rsidRPr="000F3FA0" w:rsidRDefault="00FF2120" w:rsidP="00FD6113">
      <w:pPr>
        <w:jc w:val="both"/>
        <w:rPr>
          <w:rFonts w:cs="Calibri"/>
          <w:sz w:val="18"/>
          <w:szCs w:val="18"/>
        </w:rPr>
      </w:pPr>
      <w:r w:rsidRPr="000F3FA0">
        <w:rPr>
          <w:rFonts w:cs="Calibri"/>
          <w:sz w:val="18"/>
          <w:szCs w:val="18"/>
        </w:rPr>
        <w:t>ια) Γεωργίας, Κτηνοτροφίας και Αλιείας, εφόσον ασκούνται αντίστοιχες Αρμοδιότητες.</w:t>
      </w:r>
    </w:p>
    <w:p w:rsidR="00FF2120" w:rsidRPr="000F3FA0" w:rsidRDefault="00FF2120" w:rsidP="00FD6113">
      <w:pPr>
        <w:pStyle w:val="FootnoteText"/>
        <w:jc w:val="both"/>
        <w:rPr>
          <w:rFonts w:cs="Calibri"/>
          <w:sz w:val="18"/>
          <w:szCs w:val="18"/>
        </w:rPr>
      </w:pPr>
    </w:p>
    <w:p w:rsidR="00FF2120" w:rsidRDefault="00FF2120" w:rsidP="00FD6113">
      <w:pPr>
        <w:pStyle w:val="FootnoteText"/>
        <w:jc w:val="both"/>
      </w:pPr>
    </w:p>
  </w:footnote>
  <w:footnote w:id="23">
    <w:p w:rsidR="00FF2120" w:rsidRPr="00AC5AAD" w:rsidRDefault="00FF2120" w:rsidP="0046676B">
      <w:pPr>
        <w:overflowPunct w:val="0"/>
        <w:spacing w:line="360" w:lineRule="auto"/>
        <w:ind w:firstLine="567"/>
        <w:jc w:val="both"/>
        <w:textAlignment w:val="baseline"/>
        <w:rPr>
          <w:rFonts w:ascii="Times New Roman" w:hAnsi="Times New Roman" w:cs="Times New Roman"/>
          <w:sz w:val="24"/>
          <w:szCs w:val="24"/>
        </w:rPr>
      </w:pPr>
      <w:r>
        <w:rPr>
          <w:rStyle w:val="FootnoteReference"/>
          <w:rFonts w:cs="Arial"/>
        </w:rPr>
        <w:footnoteRef/>
      </w:r>
      <w:r>
        <w:t xml:space="preserve"> </w:t>
      </w:r>
      <w:r w:rsidRPr="003628AE">
        <w:rPr>
          <w:rFonts w:ascii="Times New Roman" w:hAnsi="Times New Roman" w:cs="Times New Roman"/>
          <w:sz w:val="24"/>
          <w:szCs w:val="24"/>
        </w:rPr>
        <w:t>Ο πρώτος δημοτικός νόμος προβλέπει εποπτεία του κράτους από το Νομάρχη και ειδικότερα, προβλέπεται ότι, οι αποφάσεις του δημοτικού συμβουλίου, υποβάλλονται προς έλεγχο προκειμένου να διαπιστωθεί η νομιμότητά της. Ο Νομάρχης εγκρίνει μια σειρά αποφάσεων, οι οποίες αφορούν στην οικονομική διαχείριση</w:t>
      </w:r>
      <w:r w:rsidRPr="003628AE">
        <w:rPr>
          <w:rFonts w:ascii="Times New Roman" w:hAnsi="Times New Roman" w:cs="Times New Roman"/>
          <w:sz w:val="24"/>
          <w:szCs w:val="24"/>
          <w:vertAlign w:val="superscript"/>
        </w:rPr>
        <w:footnoteRef/>
      </w:r>
      <w:r w:rsidRPr="003628AE">
        <w:rPr>
          <w:rFonts w:ascii="Times New Roman" w:hAnsi="Times New Roman" w:cs="Times New Roman"/>
          <w:sz w:val="24"/>
          <w:szCs w:val="24"/>
        </w:rPr>
        <w:t>, υπό την έννοια ότι, εφόσον δεν αποφανθεί ο Νομάρχης ρητά, η απόφαση δεν εκτελείται. Πλην του Νομάρχου, εποπτεία ασκεί ο Βασιλέας επί των αποφάσεων, οι οποίες αφορούν: α) την επιβολή νέων εμμέσων ή αμέσων φόρων β) την ανανέωση των φόρων μετά την παρέλευση προθεσμίας εντός της οποίας ίσχυσαν γ) καθορισμό άλλου μέτρου πέραν αυτών τα οποία αναφέρονται στους αμέσους φόρους.</w:t>
      </w:r>
      <w:r>
        <w:rPr>
          <w:rFonts w:ascii="Times New Roman" w:hAnsi="Times New Roman" w:cs="Times New Roman"/>
          <w:sz w:val="24"/>
          <w:szCs w:val="24"/>
        </w:rPr>
        <w:t xml:space="preserve"> </w:t>
      </w:r>
      <w:r w:rsidRPr="003628AE">
        <w:rPr>
          <w:rFonts w:ascii="Times New Roman" w:hAnsi="Times New Roman" w:cs="Times New Roman"/>
          <w:sz w:val="24"/>
          <w:szCs w:val="24"/>
        </w:rPr>
        <w:t>Στην πρώτη μεταρρύθμιση της τοπικής αυτοδιοίκησης με το νόμο ΔΝΖ΄/1912, ως προς την εποπτεία των πράξεων των κοινοτικών αρχών, ο νόμος διακρίνει τις αποφάσεις σε εκτέλεση της διοίκησης και εκείνες της οικονομικής διαχείρισης.</w:t>
      </w:r>
      <w:r>
        <w:rPr>
          <w:rFonts w:ascii="Times New Roman" w:hAnsi="Times New Roman" w:cs="Times New Roman"/>
          <w:sz w:val="24"/>
          <w:szCs w:val="24"/>
        </w:rPr>
        <w:t xml:space="preserve"> </w:t>
      </w:r>
      <w:r w:rsidRPr="003628AE">
        <w:rPr>
          <w:rFonts w:ascii="Times New Roman" w:hAnsi="Times New Roman" w:cs="Times New Roman"/>
          <w:sz w:val="24"/>
          <w:szCs w:val="24"/>
        </w:rPr>
        <w:t>Οι αποφάσεις που ανάγονται στη διοίκηση των τοπικών υποθέσεων, πλην αυτών που αναφέρονται στην διαχείριση της περιουσίας, είναι εκτελεστές αμέσως, ο νομάρχης δε, δικαιούνται εντός τριάντα ημερών από της υποβολής τους προς αυτόν, να τις α</w:t>
      </w:r>
      <w:r>
        <w:rPr>
          <w:rFonts w:ascii="Times New Roman" w:hAnsi="Times New Roman" w:cs="Times New Roman"/>
          <w:sz w:val="24"/>
          <w:szCs w:val="24"/>
        </w:rPr>
        <w:t>κυρώσει για λόγους νομιμότητας. Το καθεστώς αυτό διήρκησε μέχρι και το 1982, οπότε εκδόθηκε το π.δ 22/1982, σύμφωνα με τις διατάξεις του οποίου, επί ορισμένων πράξεων ασκείται έλεγχος σκοπιμότητας.</w:t>
      </w:r>
    </w:p>
    <w:p w:rsidR="00FF2120" w:rsidRDefault="00FF2120" w:rsidP="0046676B">
      <w:pPr>
        <w:overflowPunct w:val="0"/>
        <w:spacing w:line="360" w:lineRule="auto"/>
        <w:ind w:firstLine="567"/>
        <w:jc w:val="both"/>
        <w:textAlignment w:val="baseline"/>
      </w:pPr>
    </w:p>
  </w:footnote>
  <w:footnote w:id="24">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Άρθρο 47, ν. 2218.1994, ΦΕΚ 90</w:t>
      </w:r>
      <w:r w:rsidRPr="00265F82">
        <w:rPr>
          <w:rFonts w:ascii="Times New Roman" w:hAnsi="Times New Roman" w:cs="Times New Roman"/>
          <w:vertAlign w:val="superscript"/>
        </w:rPr>
        <w:t>Α΄</w:t>
      </w:r>
      <w:r w:rsidRPr="00265F82">
        <w:rPr>
          <w:rFonts w:ascii="Times New Roman" w:hAnsi="Times New Roman" w:cs="Times New Roman"/>
        </w:rPr>
        <w:t>.</w:t>
      </w:r>
    </w:p>
  </w:footnote>
  <w:footnote w:id="25">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Υπό την έννοια του στενού νομικού προσώπου του κράτους.</w:t>
      </w:r>
    </w:p>
  </w:footnote>
  <w:footnote w:id="26">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Η ύπαρξη «νομικών προσώπων δημοσίου δικαίου σαφώς διακεκριμένων από το δημόσιο νομικό πρόσωπο του Κράτους, με κατά τόπον αρμοδιότητα σε περιορισμένη εδαφική έκταση και γενική καθ' ύλην αρμοδιότητα επί των τοπικών υποθέσεων» υπογραμμιζόταν στην έκθεση της Διεύθυνσης Επιστημονικών Μελέτων της Βούλης που συνόδευε το νομοσχέδιο (μετέπειτα ν. 2218.1994, ΦΕΚ 90</w:t>
      </w:r>
      <w:r w:rsidRPr="00265F82">
        <w:rPr>
          <w:rFonts w:ascii="Times New Roman" w:hAnsi="Times New Roman" w:cs="Times New Roman"/>
          <w:vertAlign w:val="superscript"/>
        </w:rPr>
        <w:t>Α΄</w:t>
      </w:r>
      <w:r w:rsidRPr="00265F82">
        <w:rPr>
          <w:rFonts w:ascii="Times New Roman" w:hAnsi="Times New Roman" w:cs="Times New Roman"/>
        </w:rPr>
        <w:t>) σχετικά με την ίδρυση δεύτερης βαθμίδας αυτοδιοίκησης.</w:t>
      </w:r>
    </w:p>
  </w:footnote>
  <w:footnote w:id="27">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Όπως επισήμαινε σχετικά σε εγκύκλιό του το Υπουργείο Εσωτερικών </w:t>
      </w:r>
      <w:r w:rsidRPr="00265F82">
        <w:rPr>
          <w:rFonts w:ascii="Times New Roman" w:hAnsi="Times New Roman" w:cs="Times New Roman"/>
          <w:noProof/>
        </w:rPr>
        <w:t>Δημόσιας Διοίκησης και Αποκέντρωσης</w:t>
      </w:r>
      <w:r w:rsidRPr="00265F82">
        <w:rPr>
          <w:rFonts w:ascii="Times New Roman" w:hAnsi="Times New Roman" w:cs="Times New Roman"/>
        </w:rPr>
        <w:t xml:space="preserve"> </w:t>
      </w:r>
      <w:r w:rsidRPr="00265F82">
        <w:rPr>
          <w:rFonts w:ascii="Times New Roman" w:hAnsi="Times New Roman" w:cs="Times New Roman"/>
          <w:noProof/>
        </w:rPr>
        <w:t>(2007)</w:t>
      </w:r>
      <w:r w:rsidRPr="00265F82">
        <w:rPr>
          <w:rFonts w:ascii="Times New Roman" w:hAnsi="Times New Roman" w:cs="Times New Roman"/>
        </w:rPr>
        <w:t>: «Το είδος αυτό του ελέγχου δεν θα μπορούσε ποτέ να εκλείψει, διότι τότε θα υπήρχε αδιαφορία του Κράτους για την ενδεχόμενη παραβίαση των νόμων από την πλευρά των Δήμων (και των Κοινοτήτων), γεγονός που δεν συνάδει με την έννοια του κράτους δικαίου».</w:t>
      </w:r>
      <w:bookmarkStart w:id="5" w:name="_GoBack"/>
      <w:bookmarkEnd w:id="5"/>
    </w:p>
  </w:footnote>
  <w:footnote w:id="28">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Σχετικά με τη έννοια, βλ. και: Μακρυδημήτρης (2010, σσ. 287-292).</w:t>
      </w:r>
    </w:p>
  </w:footnote>
  <w:footnote w:id="29">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Ινστιτούτο Τοπικής Αυτοδιοίκησης. (2006). Οι Έλεγχοι στους ΟΤΑ. Προτάσεις για τον Εξορθολογισμό και την Αποτελεσματικότητα του Συστήματος. Αθήνα: Ινστιτούτο Τοπικής Αυτοδιοίκησης.</w:t>
      </w:r>
    </w:p>
  </w:footnote>
  <w:footnote w:id="30">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Άρθρο 214, ν. 3852.2010, ΦΕΚ 87</w:t>
      </w:r>
      <w:r w:rsidRPr="00265F82">
        <w:rPr>
          <w:rFonts w:ascii="Times New Roman" w:hAnsi="Times New Roman" w:cs="Times New Roman"/>
          <w:vertAlign w:val="superscript"/>
        </w:rPr>
        <w:t>Α΄</w:t>
      </w:r>
      <w:r w:rsidRPr="00265F82">
        <w:rPr>
          <w:rFonts w:ascii="Times New Roman" w:hAnsi="Times New Roman" w:cs="Times New Roman"/>
        </w:rPr>
        <w:t>.</w:t>
      </w:r>
    </w:p>
  </w:footnote>
  <w:footnote w:id="31">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Άρθρο 214, όπ.π.</w:t>
      </w:r>
    </w:p>
  </w:footnote>
  <w:footnote w:id="32">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Μακρυδημήτρης, Α. (2010). Δημόσια Διοίκηση. Στοιχεία Διοικητικής Οργάνωσης (Συνεργασία: Πραβίτα Μ.-Η. - Δ΄ εκδ.). Αθήνα-Θεσσαλονίκη: Σάκκουλα.</w:t>
      </w:r>
    </w:p>
  </w:footnote>
  <w:footnote w:id="33">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Τυπικά, η εποπτεία διακρίνεται σε: α) εποπτεία επί των πράξεων των οργάνων των ΟΤΑ. βαθμού, β) εποπτεία επί των προσώπων (Μακρυδημήτρης, 2010, σσ. 288-292). Συναφώς: Υπουργείο Εσωτερικών Δημόσιας Διοίκησης και Αποκέντρωσης (2007).</w:t>
      </w:r>
    </w:p>
  </w:footnote>
  <w:footnote w:id="34">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Άρθρο 102, παρ. 2 Συντάγματος 1975/1986/2001/2008.</w:t>
      </w:r>
    </w:p>
  </w:footnote>
  <w:footnote w:id="35">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ΦΕΚ 111</w:t>
      </w:r>
      <w:r w:rsidRPr="00265F82">
        <w:rPr>
          <w:rFonts w:ascii="Times New Roman" w:hAnsi="Times New Roman" w:cs="Times New Roman"/>
          <w:vertAlign w:val="superscript"/>
        </w:rPr>
        <w:t>Α΄</w:t>
      </w:r>
      <w:r w:rsidRPr="00265F82">
        <w:rPr>
          <w:rFonts w:ascii="Times New Roman" w:hAnsi="Times New Roman" w:cs="Times New Roman"/>
        </w:rPr>
        <w:t xml:space="preserve">, </w:t>
      </w:r>
      <w:r w:rsidRPr="00265F82">
        <w:rPr>
          <w:rFonts w:ascii="Times New Roman" w:hAnsi="Times New Roman" w:cs="Times New Roman"/>
          <w:noProof/>
        </w:rPr>
        <w:t>Βουλή των Ελλήνων (1975)</w:t>
      </w:r>
      <w:r w:rsidRPr="00265F82">
        <w:rPr>
          <w:rFonts w:ascii="Times New Roman" w:hAnsi="Times New Roman" w:cs="Times New Roman"/>
        </w:rPr>
        <w:t>.</w:t>
      </w:r>
    </w:p>
  </w:footnote>
  <w:footnote w:id="36">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Άρθρο 102, παρ. 5.</w:t>
      </w:r>
    </w:p>
  </w:footnote>
  <w:footnote w:id="37">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Άρθρο 102, παρ. 2.</w:t>
      </w:r>
    </w:p>
  </w:footnote>
  <w:footnote w:id="38">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ΦΕΚ 23</w:t>
      </w:r>
      <w:r w:rsidRPr="00265F82">
        <w:rPr>
          <w:rFonts w:ascii="Times New Roman" w:hAnsi="Times New Roman" w:cs="Times New Roman"/>
          <w:vertAlign w:val="superscript"/>
        </w:rPr>
        <w:t>Α΄</w:t>
      </w:r>
      <w:r w:rsidRPr="00265F82">
        <w:rPr>
          <w:rFonts w:ascii="Times New Roman" w:hAnsi="Times New Roman" w:cs="Times New Roman"/>
        </w:rPr>
        <w:t xml:space="preserve">, άρθρο 102, </w:t>
      </w:r>
      <w:r w:rsidRPr="00265F82">
        <w:rPr>
          <w:rFonts w:ascii="Times New Roman" w:hAnsi="Times New Roman" w:cs="Times New Roman"/>
          <w:noProof/>
        </w:rPr>
        <w:t>Βουλή των Ελλήνων (1986)</w:t>
      </w:r>
      <w:r w:rsidRPr="00265F82">
        <w:rPr>
          <w:rFonts w:ascii="Times New Roman" w:hAnsi="Times New Roman" w:cs="Times New Roman"/>
        </w:rPr>
        <w:t>.</w:t>
      </w:r>
    </w:p>
  </w:footnote>
  <w:footnote w:id="39">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ΦΕΚ 85</w:t>
      </w:r>
      <w:r w:rsidRPr="00265F82">
        <w:rPr>
          <w:rFonts w:ascii="Times New Roman" w:hAnsi="Times New Roman" w:cs="Times New Roman"/>
          <w:vertAlign w:val="superscript"/>
        </w:rPr>
        <w:t>Α΄</w:t>
      </w:r>
      <w:r w:rsidRPr="00265F82">
        <w:rPr>
          <w:rFonts w:ascii="Times New Roman" w:hAnsi="Times New Roman" w:cs="Times New Roman"/>
        </w:rPr>
        <w:t xml:space="preserve">, </w:t>
      </w:r>
      <w:r w:rsidRPr="00265F82">
        <w:rPr>
          <w:rFonts w:ascii="Times New Roman" w:hAnsi="Times New Roman" w:cs="Times New Roman"/>
          <w:noProof/>
        </w:rPr>
        <w:t>Βουλή των Ελλήνων</w:t>
      </w:r>
      <w:r w:rsidRPr="00265F82">
        <w:rPr>
          <w:rFonts w:ascii="Times New Roman" w:hAnsi="Times New Roman" w:cs="Times New Roman"/>
        </w:rPr>
        <w:t xml:space="preserve"> </w:t>
      </w:r>
      <w:r w:rsidRPr="00265F82">
        <w:rPr>
          <w:rFonts w:ascii="Times New Roman" w:hAnsi="Times New Roman" w:cs="Times New Roman"/>
          <w:noProof/>
        </w:rPr>
        <w:t>(2001)</w:t>
      </w:r>
      <w:r w:rsidRPr="00265F82">
        <w:rPr>
          <w:rFonts w:ascii="Times New Roman" w:hAnsi="Times New Roman" w:cs="Times New Roman"/>
        </w:rPr>
        <w:t>.</w:t>
      </w:r>
    </w:p>
  </w:footnote>
  <w:footnote w:id="40">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Υπενθυμίζεται ότι οι ΚΑΠ θεσπίστηκαν το 1989 για τους ΟΤΑ Α΄ βαθμού (ν. 1828, ΦΕΚ 2</w:t>
      </w:r>
      <w:r w:rsidRPr="00265F82">
        <w:rPr>
          <w:rFonts w:ascii="Times New Roman" w:hAnsi="Times New Roman" w:cs="Times New Roman"/>
          <w:vertAlign w:val="superscript"/>
        </w:rPr>
        <w:t>Α΄</w:t>
      </w:r>
      <w:r w:rsidRPr="00265F82">
        <w:rPr>
          <w:rFonts w:ascii="Times New Roman" w:hAnsi="Times New Roman" w:cs="Times New Roman"/>
        </w:rPr>
        <w:t>) και το 1998 για τους ΟΤΑ Β΄ (ν. 2672, ΦΕΚ 290</w:t>
      </w:r>
      <w:r w:rsidRPr="00265F82">
        <w:rPr>
          <w:rFonts w:ascii="Times New Roman" w:hAnsi="Times New Roman" w:cs="Times New Roman"/>
          <w:vertAlign w:val="superscript"/>
        </w:rPr>
        <w:t>Α΄</w:t>
      </w:r>
      <w:r w:rsidRPr="00265F82">
        <w:rPr>
          <w:rFonts w:ascii="Times New Roman" w:hAnsi="Times New Roman" w:cs="Times New Roman"/>
        </w:rPr>
        <w:t>) εισάγοντας ένα σταθερό περιβάλλον χρηματοδότησης, περιορίζοντας παράλληλα πολιτικές παρεμβάσεις. Προέβλεπαν την εγγραφή πόρων υπέρ των αυτοδιοικητικών θεσμών από ποσοστά συμμετοχής τους (φόρος εισοδήματος, ΦΠΑ, τέλη κυκλοφορίας) στα έσοδα του κρατικού προϋπολογισμού. Η απόδοσή τους υπολογίζεται ετησίως με μηνιαίες ισόποσες προκαταβολές στη βάση προεκτιμώμενων εσόδων (ακολουθεί η εκκαθάριση σύμφωνα με τα απολογιστικά στοιχεία του οικονομικού έτους αναφοράς). Επιπλέον, προβλέπονται κριτήρια κατανομής.</w:t>
      </w:r>
    </w:p>
  </w:footnote>
  <w:footnote w:id="41">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w:t>
      </w:r>
      <w:r w:rsidRPr="00265F82">
        <w:rPr>
          <w:rFonts w:ascii="Times New Roman" w:hAnsi="Times New Roman" w:cs="Times New Roman"/>
          <w:lang w:val="en-US"/>
        </w:rPr>
        <w:t>T</w:t>
      </w:r>
      <w:r w:rsidRPr="00265F82">
        <w:rPr>
          <w:rFonts w:ascii="Times New Roman" w:hAnsi="Times New Roman" w:cs="Times New Roman"/>
        </w:rPr>
        <w:t>ο 1980 στο άρθρο 115 του ΚΔΚ (ν. 1065.1980, ΦΕΚ 168</w:t>
      </w:r>
      <w:r w:rsidRPr="00265F82">
        <w:rPr>
          <w:rFonts w:ascii="Times New Roman" w:hAnsi="Times New Roman" w:cs="Times New Roman"/>
          <w:vertAlign w:val="superscript"/>
        </w:rPr>
        <w:t>Α΄</w:t>
      </w:r>
      <w:r w:rsidRPr="00265F82">
        <w:rPr>
          <w:rFonts w:ascii="Times New Roman" w:hAnsi="Times New Roman" w:cs="Times New Roman"/>
        </w:rPr>
        <w:t>) προβλέφθηκε ρύθμιση σχετικά με την άσκηση ουσιαστικού ελέγχου του (μετακλητού τότε) νομάρχη, αναφέροντας ότι με ΠΔ: «μπορούν να καταργούνται διατάξεις του Κώδικα ή άλλων νόμων που προβλέπουν έγκριση των πράξεων των δημοτικών ή κοινοτικών συμβουλίων». Ομοίως, δύο έτη αργότερα (1982) στο άρθρο 17 του ν. 1270.1982 (ΦΕΚ 93</w:t>
      </w:r>
      <w:r w:rsidRPr="00265F82">
        <w:rPr>
          <w:rFonts w:ascii="Times New Roman" w:hAnsi="Times New Roman" w:cs="Times New Roman"/>
          <w:vertAlign w:val="superscript"/>
        </w:rPr>
        <w:t>Α΄</w:t>
      </w:r>
      <w:r w:rsidRPr="00265F82">
        <w:rPr>
          <w:rFonts w:ascii="Times New Roman" w:hAnsi="Times New Roman" w:cs="Times New Roman"/>
        </w:rPr>
        <w:t>) προβλέφθηκε κατάργηση ουσιαστικού ελέγχου, καθώς με ΠΔ «μπορούν να καταργούνται διατάξεις του Κώδικα ή άλλων νόμων που προβλέπουν έγκριση των πράξεων των δημοτικών ή κοινοτικών συμβουλίων, δημαρχιακών επιτροπών, διοικητικών συμβουλίων δημοτικών και κοινοτικών ιδρυμάτων, νομικών προσώπων και συνδέσμων δήμων και κοινοτήτων καθώς και αμιγών δημοτικών και κοινοτικών επιχειρήσεων». Έπειτα, στο άρθρο 22 του ν. 1832.1989 (ΦΕΚ 54</w:t>
      </w:r>
      <w:r w:rsidRPr="00265F82">
        <w:rPr>
          <w:rFonts w:ascii="Times New Roman" w:hAnsi="Times New Roman" w:cs="Times New Roman"/>
          <w:vertAlign w:val="superscript"/>
        </w:rPr>
        <w:t>Α΄</w:t>
      </w:r>
      <w:r w:rsidRPr="00265F82">
        <w:rPr>
          <w:rFonts w:ascii="Times New Roman" w:hAnsi="Times New Roman" w:cs="Times New Roman"/>
        </w:rPr>
        <w:t>) προβλέφθηκε κατάργηση ουσιαστικού ελέγχου σε έργα και προμήθειες των ΟΤΑ καθώς οριζόταν ότι οι πράξεις των συλλογικών οργάνων των ΟΤΑ και των νομικών προσώπων εποπτείας τους «που αφορούν την εκτέλεση έργων, εργασιών, προμηθειών, μεταφορών και τη σύνταξη των αντίστοιχων μελετών, υπόκεινται μόνο σε έλεγχο νομιμότητας από το νομάρχη».</w:t>
      </w:r>
    </w:p>
  </w:footnote>
  <w:footnote w:id="42">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Μονομελών και συλλογικών οργάνων των ΟΤΑ, καθώς και σε επίπεδο νομικών προσώπων των ΟΤΑ. </w:t>
      </w:r>
    </w:p>
  </w:footnote>
  <w:footnote w:id="43">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Παρ. 1, άρθρου 47 ν. 2218.1994 (ΦΕΚ 90</w:t>
      </w:r>
      <w:r w:rsidRPr="00265F82">
        <w:rPr>
          <w:rFonts w:ascii="Times New Roman" w:hAnsi="Times New Roman" w:cs="Times New Roman"/>
          <w:vertAlign w:val="superscript"/>
        </w:rPr>
        <w:t>Α΄</w:t>
      </w:r>
      <w:r w:rsidRPr="00265F82">
        <w:rPr>
          <w:rFonts w:ascii="Times New Roman" w:hAnsi="Times New Roman" w:cs="Times New Roman"/>
        </w:rPr>
        <w:t>).</w:t>
      </w:r>
    </w:p>
  </w:footnote>
  <w:footnote w:id="44">
    <w:p w:rsidR="00FF2120" w:rsidRDefault="00FF2120" w:rsidP="00B8755D">
      <w:pPr>
        <w:pStyle w:val="FootnoteText"/>
        <w:spacing w:after="0"/>
      </w:pPr>
      <w:r w:rsidRPr="00265F82">
        <w:rPr>
          <w:rStyle w:val="FootnoteReference"/>
          <w:rFonts w:ascii="Times New Roman" w:hAnsi="Times New Roman"/>
        </w:rPr>
        <w:footnoteRef/>
      </w:r>
      <w:r w:rsidRPr="00265F82">
        <w:rPr>
          <w:rFonts w:ascii="Times New Roman" w:hAnsi="Times New Roman" w:cs="Times New Roman"/>
        </w:rPr>
        <w:t xml:space="preserve"> Ομοίως διατηρήθηκε και στην αναθεώρηση του 2008.</w:t>
      </w:r>
    </w:p>
  </w:footnote>
  <w:footnote w:id="45">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ΦΕΚ 120</w:t>
      </w:r>
      <w:r w:rsidRPr="00265F82">
        <w:rPr>
          <w:rFonts w:ascii="Times New Roman" w:hAnsi="Times New Roman" w:cs="Times New Roman"/>
          <w:vertAlign w:val="superscript"/>
        </w:rPr>
        <w:t>Α΄</w:t>
      </w:r>
      <w:r w:rsidRPr="00265F82">
        <w:rPr>
          <w:rFonts w:ascii="Times New Roman" w:hAnsi="Times New Roman" w:cs="Times New Roman"/>
        </w:rPr>
        <w:t>.</w:t>
      </w:r>
      <w:r w:rsidRPr="00265F82">
        <w:rPr>
          <w:rFonts w:ascii="Times New Roman" w:hAnsi="Times New Roman" w:cs="Times New Roman"/>
          <w:noProof/>
        </w:rPr>
        <w:t xml:space="preserve"> Βουλή των Ελλήνων</w:t>
      </w:r>
      <w:r w:rsidRPr="00265F82">
        <w:rPr>
          <w:rFonts w:ascii="Times New Roman" w:hAnsi="Times New Roman" w:cs="Times New Roman"/>
        </w:rPr>
        <w:t xml:space="preserve"> </w:t>
      </w:r>
      <w:r w:rsidRPr="00265F82">
        <w:rPr>
          <w:rFonts w:ascii="Times New Roman" w:hAnsi="Times New Roman" w:cs="Times New Roman"/>
          <w:noProof/>
        </w:rPr>
        <w:t>(2008)</w:t>
      </w:r>
      <w:r w:rsidRPr="00265F82">
        <w:rPr>
          <w:rFonts w:ascii="Times New Roman" w:hAnsi="Times New Roman" w:cs="Times New Roman"/>
        </w:rPr>
        <w:t>.</w:t>
      </w:r>
    </w:p>
  </w:footnote>
  <w:footnote w:id="46">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Ο ΚΔΚ (ν. 3463.2006, ΦΕΚ 114</w:t>
      </w:r>
      <w:r w:rsidRPr="00265F82">
        <w:rPr>
          <w:rFonts w:ascii="Times New Roman" w:hAnsi="Times New Roman" w:cs="Times New Roman"/>
          <w:vertAlign w:val="superscript"/>
        </w:rPr>
        <w:t>Α΄</w:t>
      </w:r>
      <w:r w:rsidRPr="00265F82">
        <w:rPr>
          <w:rFonts w:ascii="Times New Roman" w:hAnsi="Times New Roman" w:cs="Times New Roman"/>
        </w:rPr>
        <w:t>) περιείχε αυτοτελές κεφάλαιο (κεφάλαιο Θ’, άρθρα 148 έως και 154) επιχειρώντας να διαμορφώσει κατά τρόπο συστηματικό το πλαίσιο της άσκησης εποπτείας επί πράξεων των πρωτοβάθμιων ΟΤΑ.</w:t>
      </w:r>
    </w:p>
  </w:footnote>
  <w:footnote w:id="47">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Για τους ΟΤΑ Β΄ το πλαίσιο εποπτείας δεν μεταβλήθηκε, σχετ.: π.δ. 30.1996 (ΦΕΚ 21</w:t>
      </w:r>
      <w:r w:rsidRPr="00265F82">
        <w:rPr>
          <w:rFonts w:ascii="Times New Roman" w:hAnsi="Times New Roman" w:cs="Times New Roman"/>
          <w:vertAlign w:val="superscript"/>
        </w:rPr>
        <w:t>Α΄</w:t>
      </w:r>
      <w:r w:rsidRPr="00265F82">
        <w:rPr>
          <w:rFonts w:ascii="Times New Roman" w:hAnsi="Times New Roman" w:cs="Times New Roman"/>
        </w:rPr>
        <w:t>).</w:t>
      </w:r>
    </w:p>
  </w:footnote>
  <w:footnote w:id="48">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Ν. 3852.2010, ΦΕΚ 87</w:t>
      </w:r>
      <w:r w:rsidRPr="00265F82">
        <w:rPr>
          <w:rFonts w:ascii="Times New Roman" w:hAnsi="Times New Roman" w:cs="Times New Roman"/>
          <w:vertAlign w:val="superscript"/>
        </w:rPr>
        <w:t>Α΄</w:t>
      </w:r>
      <w:r w:rsidRPr="00265F82">
        <w:rPr>
          <w:rFonts w:ascii="Times New Roman" w:hAnsi="Times New Roman" w:cs="Times New Roman"/>
        </w:rPr>
        <w:t>. Όργανο άσκησης κρατικής εποπτείας επί των ΟΤΑ αποτέλεσε ο κρατικός νομάρχης μέχρι το 1994, ο περιφερειακός διευθυντής κατά το διάστημα λειτουργίας της υπηρεσίας (1994-1996) για τους ΟΤΑ Α΄ και ο γενικός γραμματέας περιφέρειας για τους ΟΤΑ Β΄. Η αρμοδιότητα για τους ΟΤΑ Α΄ πέρασε στον γενικό γραμματέα περιφέρειας το 1997 (ν. 2503.1997). Το 2010 προβλέφθηκε η σύσταση αυτοτελούς υπηρεσίας εποπτείας (ΑΥΕ) ΟΤΑ με επικεφαλής τον ελεγκτή νομιμότητας (ν. 3852, μέρος ΣΤ’, άρθρα 214-223) σε κάθε αποκεντρωμένη διοίκηση, υπαγόμενη στο υπουργείο εσωτερικών. Εντούτοις, η υπηρεσία μέχρι τα τέλη του 2016 δεν είχε τεθεί σε  λειτουργία παρά τις επιμέρους προσπάθειες (ενδεικτικά: υπ’ αριθμ. 36366/2011 προκήρυξη υπουργείου εσωτερικών για την επιλογή ελεγκτών νομιμότητας, υπ’ αριθμ. 2096/14-1-2011 πρόσκληση υποβολής αιτήσεων για τη στελέχωση των επτά ΑΥΕ ΟΤΑ, ΦΕΚ 41</w:t>
      </w:r>
      <w:r w:rsidRPr="00265F82">
        <w:rPr>
          <w:rFonts w:ascii="Times New Roman" w:hAnsi="Times New Roman" w:cs="Times New Roman"/>
          <w:vertAlign w:val="superscript"/>
        </w:rPr>
        <w:t>Β΄</w:t>
      </w:r>
      <w:r w:rsidRPr="00265F82">
        <w:rPr>
          <w:rFonts w:ascii="Times New Roman" w:hAnsi="Times New Roman" w:cs="Times New Roman"/>
        </w:rPr>
        <w:t>, ενώ (παραδόξως) υπήρξαν και τροποποιήσεις αλλά και πρωτοβουλίες για μεταβολές (σχετ.: ν. 4257.2014, ΦΕΚ 93</w:t>
      </w:r>
      <w:r w:rsidRPr="00265F82">
        <w:rPr>
          <w:rFonts w:ascii="Times New Roman" w:hAnsi="Times New Roman" w:cs="Times New Roman"/>
          <w:vertAlign w:val="superscript"/>
        </w:rPr>
        <w:t>Α΄</w:t>
      </w:r>
      <w:r w:rsidRPr="00265F82">
        <w:rPr>
          <w:rFonts w:ascii="Times New Roman" w:hAnsi="Times New Roman" w:cs="Times New Roman"/>
        </w:rPr>
        <w:t xml:space="preserve">, σχέδια νόμου Ιουλίου 2015 και Οκτωβρίου 2016 για την ίδρυση ΑΥΕ ανά περιφέρεια). Αναφορικά με το σύστημα της εποπτείας των αυτοδιοικητικών θεσμών σε δεύτερο βαθμό σχετ.: </w:t>
      </w:r>
      <w:r w:rsidRPr="00265F82">
        <w:rPr>
          <w:rFonts w:ascii="Times New Roman" w:hAnsi="Times New Roman" w:cs="Times New Roman"/>
          <w:noProof/>
        </w:rPr>
        <w:t>Μακρυδημήτρης</w:t>
      </w:r>
      <w:r w:rsidRPr="00265F82">
        <w:rPr>
          <w:rFonts w:ascii="Times New Roman" w:hAnsi="Times New Roman" w:cs="Times New Roman"/>
        </w:rPr>
        <w:t xml:space="preserve"> </w:t>
      </w:r>
      <w:r w:rsidRPr="00265F82">
        <w:rPr>
          <w:rFonts w:ascii="Times New Roman" w:hAnsi="Times New Roman" w:cs="Times New Roman"/>
          <w:noProof/>
        </w:rPr>
        <w:t>(1999, σσ. 167-168)</w:t>
      </w:r>
      <w:r w:rsidRPr="00265F82">
        <w:rPr>
          <w:rFonts w:ascii="Times New Roman" w:hAnsi="Times New Roman" w:cs="Times New Roman"/>
        </w:rPr>
        <w:t>. Σημαντική υπήρξε η πρόβλεψη του άρθρου 102, παρ. 5 του Συντάγματος ύστερα από την αναθεώρησή του το 2001. Για πρώτη φορά προβλέφθηκε ότι οι αρμοδιότητες που τυχόν θα μεταφέρονταν από το κεντρικό κράτος προς την αυτοδιοίκηση (Α΄ και Β΄ βαθμού) θα έπρεπε να συνοδεύονται από τους αντίστοιχους πόρους. Η πρόβλεψη μάλιστα περιβλήθηκε με την ισχύ συνταγματικού κανόνα, τονίζοντας τη σπουδαιότητα αλλά και την υποχρέωση του κέντρου προς τις αυτοδιοικητικές αρχές. Παρά την απόκλιση που έχει παρατηρηθεί κατά καιρούς από την πιστή τήρηση του κανόνα η ύπαρξή του συνιστά σημαντική παράμετρο και παράλληλα προϋπόθεση οικονομικής αυτοτέλειας των ΟΤΑ. Περαιτέρω, η τήρησή του ενισχύει τη θεσμική και διοικητική ικανότητα των θεσμών.</w:t>
      </w:r>
    </w:p>
  </w:footnote>
  <w:footnote w:id="49">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Παρ. 2 άρθρου 102 Συντάγματος (2001). Για πρώτη φορά προβλέφθηκε ότι οι αρμοδιότητες που τυχόν θα μεταφέρονταν από το κεντρικό κράτος προς την αυτοδιοίκηση (Α΄ και Β΄ βαθμού) θα έπρεπε να συνοδεύονται από τους αντίστοιχους πόρους. Η πρόβλεψη τόνιζε τη σπουδαιότητα αλλά και την υποχρέωση του κέντρου προς τις αυτοδιοικητικές αρχές. Παρά την απόκλιση που έχει παρατηρηθεί κατά καιρούς από την πιστή τήρηση του κανόνα η ύπαρξή του συνιστά σημαντική παράμετρο και παράλληλα προϋπόθεση οικονομικής αυτοτέλειας των ΟΤΑ. Η τήρηση του κανόνα ενισχύει τη θεσμική και διοικητική ικανότητα των θεσμών</w:t>
      </w:r>
    </w:p>
  </w:footnote>
  <w:footnote w:id="50">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Π.δ. 315.1999 (ΦΕΚ 302</w:t>
      </w:r>
      <w:r w:rsidRPr="00265F82">
        <w:rPr>
          <w:rFonts w:ascii="Times New Roman" w:hAnsi="Times New Roman" w:cs="Times New Roman"/>
          <w:vertAlign w:val="superscript"/>
        </w:rPr>
        <w:t>Α΄</w:t>
      </w:r>
      <w:r w:rsidRPr="00265F82">
        <w:rPr>
          <w:rFonts w:ascii="Times New Roman" w:hAnsi="Times New Roman" w:cs="Times New Roman"/>
        </w:rPr>
        <w:t>), εξουσ. διάταξη: άρθρο 12, ν. 2526.1997 (ΦΕΚ 205</w:t>
      </w:r>
      <w:r w:rsidRPr="00265F82">
        <w:rPr>
          <w:rFonts w:ascii="Times New Roman" w:hAnsi="Times New Roman" w:cs="Times New Roman"/>
          <w:vertAlign w:val="superscript"/>
        </w:rPr>
        <w:t>Α΄</w:t>
      </w:r>
      <w:r w:rsidRPr="00265F82">
        <w:rPr>
          <w:rFonts w:ascii="Times New Roman" w:hAnsi="Times New Roman" w:cs="Times New Roman"/>
        </w:rPr>
        <w:t>). Η ρύθμιση αφορούσε δήμους άνω των 5.000 κατοίκων ή με τακτικά έσοδα άνω των 500 εκατ. δρχ. Εν τούτοις, σημειώθηκαν προβλήματα κατά την υλοποίηση, δεδομένων είτε της απουσίας εξειδικευμένου προσωπικού παρά την προώθηση σχετικών ρυθμίσεων (αρθ. 22 παρ. 9 ν. 3051.2002 όπου προβλέφθηκε η σύσταση θέσεων κλάδου Οικονομικού-Λογιστικού με πτυχίο λογιστικής κατεύθυνσης ΠΕ ή ΤΕ) είτε λόγω έλλειψης της κατάλληλης άδειας λογιστή. Στην πράξη, συχνά υπόχρεοι ΟΤΑ Α΄ κατέφευγαν στην ανάθεση σε εξωτερικό συνεργάτη ή λογιστικό γραφείο στο πλαίσιο της σχετικής νομοθεσίας (π.χ.: παρ. 6, αρθρ. 26, ν. 3613.2007, ΦΕΚ 263</w:t>
      </w:r>
      <w:r w:rsidRPr="00265F82">
        <w:rPr>
          <w:rFonts w:ascii="Times New Roman" w:hAnsi="Times New Roman" w:cs="Times New Roman"/>
          <w:vertAlign w:val="superscript"/>
        </w:rPr>
        <w:t>Α΄</w:t>
      </w:r>
      <w:r w:rsidRPr="00265F82">
        <w:rPr>
          <w:rFonts w:ascii="Times New Roman" w:hAnsi="Times New Roman" w:cs="Times New Roman"/>
        </w:rPr>
        <w:t>).</w:t>
      </w:r>
    </w:p>
  </w:footnote>
  <w:footnote w:id="51">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ΚΥΑ υπ' αριθμ. 7028/3-2-2004, ΦΕΚ 253</w:t>
      </w:r>
      <w:r w:rsidRPr="00265F82">
        <w:rPr>
          <w:rFonts w:ascii="Times New Roman" w:hAnsi="Times New Roman" w:cs="Times New Roman"/>
          <w:vertAlign w:val="superscript"/>
        </w:rPr>
        <w:t>Β΄</w:t>
      </w:r>
      <w:r w:rsidRPr="00265F82">
        <w:rPr>
          <w:rFonts w:ascii="Times New Roman" w:hAnsi="Times New Roman" w:cs="Times New Roman"/>
        </w:rPr>
        <w:t>.</w:t>
      </w:r>
    </w:p>
  </w:footnote>
  <w:footnote w:id="52">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Με την παρ. 2 του άρθρου 43 του ν. 3979.2011 (τροπ. α. 268, π. 11 ν. 3852.2010) προβλέφθηκε ότι οι διατάξεις του π.δ. 315.1999 θα εφαρμόζονται, κατ’ αναλογία, για το διπλογραφικό σύστημα γενικής και αναλυτικής λογιστικής-κοστολόγησης των ΟΤΑ Β΄ (Περιφερειών). Το προηγούμενο καθεστώς οριζόταν από το ν.δ. 496.1974 (ΦΕΚ 204</w:t>
      </w:r>
      <w:r w:rsidRPr="00265F82">
        <w:rPr>
          <w:rFonts w:ascii="Times New Roman" w:hAnsi="Times New Roman" w:cs="Times New Roman"/>
          <w:vertAlign w:val="superscript"/>
        </w:rPr>
        <w:t>Α΄</w:t>
      </w:r>
      <w:r w:rsidRPr="00265F82">
        <w:rPr>
          <w:rFonts w:ascii="Times New Roman" w:hAnsi="Times New Roman" w:cs="Times New Roman"/>
        </w:rPr>
        <w:t>) και το π.δ. 30.1996 (ΦΕΚ 21</w:t>
      </w:r>
      <w:r w:rsidRPr="00265F82">
        <w:rPr>
          <w:rFonts w:ascii="Times New Roman" w:hAnsi="Times New Roman" w:cs="Times New Roman"/>
          <w:vertAlign w:val="superscript"/>
        </w:rPr>
        <w:t>Α΄</w:t>
      </w:r>
      <w:r w:rsidRPr="00265F82">
        <w:rPr>
          <w:rFonts w:ascii="Times New Roman" w:hAnsi="Times New Roman" w:cs="Times New Roman"/>
        </w:rPr>
        <w:t>) χωρίς πρόβλεψη τήρησης διπλογραφικής λογιστικής.</w:t>
      </w:r>
    </w:p>
  </w:footnote>
  <w:footnote w:id="53">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Άρθρο 4 ν. 4111.2013 όπως τροποποιήθηκε (άρθρο 76, ν. 4172.2013, ΦΕΚ 167</w:t>
      </w:r>
      <w:r w:rsidRPr="00265F82">
        <w:rPr>
          <w:rFonts w:ascii="Times New Roman" w:hAnsi="Times New Roman" w:cs="Times New Roman"/>
          <w:vertAlign w:val="superscript"/>
        </w:rPr>
        <w:t>Α΄</w:t>
      </w:r>
      <w:r w:rsidRPr="00265F82">
        <w:rPr>
          <w:rFonts w:ascii="Times New Roman" w:hAnsi="Times New Roman" w:cs="Times New Roman"/>
        </w:rPr>
        <w:t>)..</w:t>
      </w:r>
    </w:p>
  </w:footnote>
  <w:footnote w:id="54">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Σύμφωνα με τα οριζόμενα στην ισχύουσα δημοσιονομική νομοθεσία. Περαιτέρω, προβλέφθηκε και η παρακολούθηση της εκτέλεσης των προϋπολογισμών των Ο.Τ.Α. και των νομικών τους προσώπων που εντάσσονταν στο Μητρώο των Φορέων Γενικής Κυβέρνησης σε μηνιαία βάση (ν. 4172.2013). Επίσης, αποφασίστηκε η σύνταξη ολοκληρωμένου πλαισίου δράσης των ΟΤΑ που θα συνόψιζε τα στοιχεία του ετήσιου προϋπολογισμού του Ο.Τ.Α. και των νομικών του προσώπων, συμπεριλαμβάνοντας μηνιαίους και τριμηνιαίους στόχους σε συμμόρφωση με τον κανόνα του ισοσκελισμού του προϋπολογισμού. Συναφώς, έπειτα από προσφυγή στο Συμβούλιο της Επικρατείας της ΚΕΔΕ και της ΕΝΠΕ κατά αποφάσεων των υπουργών Εσωτερικών και Οικονομικών για θέματα προϋπολογισμών, το ανώτατο δικαστήριο έκρινε ότι το παρατηρητήριο είχε συμπληρωματικό ρόλο στην λειτουργία των ΟΤΑ και η λειτουργία του δεν παραβίαζε ούτε περιόριζε την συνταγματικά κατοχυρωμένη διοικητική και οικονομική αυτοτέλειά τους (αποφάσεις 1716 και 1717.2014).</w:t>
      </w:r>
    </w:p>
  </w:footnote>
  <w:footnote w:id="55">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Το φαινόμενο προέρχεται από το χώρο της οικονομικής επιστήμης και περιγράφει την κατάσταση όπου ένας φορέας αναλαμβάνει υπέρμετρο κίνδυνο γνωρίζοντας ότι υπάρχει μια κεντρική αρχή που θα παρέμβει αναλαμβάνοντας τόσο τη χρηματοοικονομική διάσωσή του όσο την αντιμετώπιση των αρνητικών επιπτώσεων που ο ίδιος θα έχει προκαλέσει. Ειδικότερα, βλ.:</w:t>
      </w:r>
      <w:r w:rsidRPr="00265F82">
        <w:rPr>
          <w:rFonts w:ascii="Times New Roman" w:hAnsi="Times New Roman" w:cs="Times New Roman"/>
          <w:noProof/>
        </w:rPr>
        <w:t xml:space="preserve"> </w:t>
      </w:r>
      <w:r w:rsidRPr="00265F82">
        <w:rPr>
          <w:rFonts w:ascii="Times New Roman" w:hAnsi="Times New Roman" w:cs="Times New Roman"/>
          <w:noProof/>
          <w:lang w:val="en-US"/>
        </w:rPr>
        <w:t>Mishkin</w:t>
      </w:r>
      <w:r w:rsidRPr="00265F82">
        <w:rPr>
          <w:rFonts w:ascii="Times New Roman" w:hAnsi="Times New Roman" w:cs="Times New Roman"/>
          <w:noProof/>
        </w:rPr>
        <w:t xml:space="preserve"> &amp; </w:t>
      </w:r>
      <w:r w:rsidRPr="00265F82">
        <w:rPr>
          <w:rFonts w:ascii="Times New Roman" w:hAnsi="Times New Roman" w:cs="Times New Roman"/>
          <w:noProof/>
          <w:lang w:val="en-US"/>
        </w:rPr>
        <w:t>Eakins</w:t>
      </w:r>
      <w:r w:rsidRPr="00265F82">
        <w:rPr>
          <w:rFonts w:ascii="Times New Roman" w:hAnsi="Times New Roman" w:cs="Times New Roman"/>
          <w:noProof/>
        </w:rPr>
        <w:t xml:space="preserve"> (2006, </w:t>
      </w:r>
      <w:r w:rsidRPr="00265F82">
        <w:rPr>
          <w:rFonts w:ascii="Times New Roman" w:hAnsi="Times New Roman" w:cs="Times New Roman"/>
          <w:noProof/>
          <w:lang w:val="en-US"/>
        </w:rPr>
        <w:t>p</w:t>
      </w:r>
      <w:r w:rsidRPr="00265F82">
        <w:rPr>
          <w:rFonts w:ascii="Times New Roman" w:hAnsi="Times New Roman" w:cs="Times New Roman"/>
          <w:noProof/>
        </w:rPr>
        <w:t>. 377)</w:t>
      </w:r>
      <w:r w:rsidRPr="00265F82">
        <w:rPr>
          <w:rFonts w:ascii="Times New Roman" w:hAnsi="Times New Roman" w:cs="Times New Roman"/>
        </w:rPr>
        <w:t>.</w:t>
      </w:r>
    </w:p>
  </w:footnote>
  <w:footnote w:id="56">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Μέσω π.χ. ισοσκελισμένων προϋπολογισμών. </w:t>
      </w:r>
    </w:p>
  </w:footnote>
  <w:footnote w:id="57">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Ολοκληρωμένα πλαίσια δράσης, πενταετή επιχειρησιακά προγράμματα, ετήσια προγράμματα δράσης, τεχνικό πρόγραμμα δράσης.</w:t>
      </w:r>
    </w:p>
  </w:footnote>
  <w:footnote w:id="58">
    <w:p w:rsidR="00FF2120" w:rsidRDefault="00FF2120" w:rsidP="00265F82">
      <w:pPr>
        <w:pStyle w:val="FootnoteText"/>
        <w:spacing w:after="0"/>
        <w:jc w:val="both"/>
      </w:pPr>
      <w:r w:rsidRPr="00265F82">
        <w:rPr>
          <w:rStyle w:val="FootnoteReference"/>
          <w:rFonts w:ascii="Times New Roman" w:hAnsi="Times New Roman"/>
        </w:rPr>
        <w:footnoteRef/>
      </w:r>
      <w:r w:rsidRPr="00265F82">
        <w:rPr>
          <w:rFonts w:ascii="Times New Roman" w:hAnsi="Times New Roman" w:cs="Times New Roman"/>
        </w:rPr>
        <w:t xml:space="preserve"> Επιτροπή Παρ. 2, αρθρ 4, ν. 3345.2005, ΦΕΚ 138</w:t>
      </w:r>
      <w:r w:rsidRPr="00265F82">
        <w:rPr>
          <w:rFonts w:ascii="Times New Roman" w:hAnsi="Times New Roman" w:cs="Times New Roman"/>
          <w:vertAlign w:val="superscript"/>
        </w:rPr>
        <w:t>Α</w:t>
      </w:r>
      <w:r w:rsidRPr="00265F82">
        <w:rPr>
          <w:rFonts w:ascii="Times New Roman" w:hAnsi="Times New Roman" w:cs="Times New Roman"/>
        </w:rPr>
        <w:t>.</w:t>
      </w:r>
    </w:p>
  </w:footnote>
  <w:footnote w:id="59">
    <w:p w:rsidR="00FF2120" w:rsidRDefault="00FF2120" w:rsidP="00B8755D">
      <w:pPr>
        <w:pStyle w:val="FootnoteText"/>
        <w:spacing w:after="0"/>
      </w:pPr>
      <w:r w:rsidRPr="00265F82">
        <w:rPr>
          <w:rStyle w:val="FootnoteReference"/>
          <w:rFonts w:ascii="Times New Roman" w:hAnsi="Times New Roman"/>
        </w:rPr>
        <w:footnoteRef/>
      </w:r>
      <w:r w:rsidRPr="00265F82">
        <w:rPr>
          <w:rFonts w:ascii="Times New Roman" w:hAnsi="Times New Roman" w:cs="Times New Roman"/>
        </w:rPr>
        <w:t xml:space="preserve"> Παρ. 2 άρθρο 4, ν. 3345.2005, ΦΕΚ 138</w:t>
      </w:r>
      <w:r w:rsidRPr="00265F82">
        <w:rPr>
          <w:rFonts w:ascii="Times New Roman" w:hAnsi="Times New Roman" w:cs="Times New Roman"/>
          <w:vertAlign w:val="superscript"/>
        </w:rPr>
        <w:t>Α΄</w:t>
      </w:r>
      <w:r w:rsidRPr="00265F82">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CB6"/>
    <w:multiLevelType w:val="hybridMultilevel"/>
    <w:tmpl w:val="6C881A08"/>
    <w:lvl w:ilvl="0" w:tplc="9CDAC53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BD58D8"/>
    <w:multiLevelType w:val="hybridMultilevel"/>
    <w:tmpl w:val="03984504"/>
    <w:lvl w:ilvl="0" w:tplc="09346E9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DBC2158"/>
    <w:multiLevelType w:val="hybridMultilevel"/>
    <w:tmpl w:val="B5BA1C4C"/>
    <w:lvl w:ilvl="0" w:tplc="04080001">
      <w:start w:val="1"/>
      <w:numFmt w:val="bullet"/>
      <w:lvlText w:val=""/>
      <w:lvlJc w:val="left"/>
      <w:pPr>
        <w:ind w:left="1695" w:hanging="360"/>
      </w:pPr>
      <w:rPr>
        <w:rFonts w:ascii="Symbol" w:hAnsi="Symbol" w:hint="default"/>
      </w:rPr>
    </w:lvl>
    <w:lvl w:ilvl="1" w:tplc="04080003" w:tentative="1">
      <w:start w:val="1"/>
      <w:numFmt w:val="bullet"/>
      <w:lvlText w:val="o"/>
      <w:lvlJc w:val="left"/>
      <w:pPr>
        <w:ind w:left="2415" w:hanging="360"/>
      </w:pPr>
      <w:rPr>
        <w:rFonts w:ascii="Courier New" w:hAnsi="Courier New" w:hint="default"/>
      </w:rPr>
    </w:lvl>
    <w:lvl w:ilvl="2" w:tplc="04080005" w:tentative="1">
      <w:start w:val="1"/>
      <w:numFmt w:val="bullet"/>
      <w:lvlText w:val=""/>
      <w:lvlJc w:val="left"/>
      <w:pPr>
        <w:ind w:left="3135" w:hanging="360"/>
      </w:pPr>
      <w:rPr>
        <w:rFonts w:ascii="Wingdings" w:hAnsi="Wingdings" w:hint="default"/>
      </w:rPr>
    </w:lvl>
    <w:lvl w:ilvl="3" w:tplc="04080001" w:tentative="1">
      <w:start w:val="1"/>
      <w:numFmt w:val="bullet"/>
      <w:lvlText w:val=""/>
      <w:lvlJc w:val="left"/>
      <w:pPr>
        <w:ind w:left="3855" w:hanging="360"/>
      </w:pPr>
      <w:rPr>
        <w:rFonts w:ascii="Symbol" w:hAnsi="Symbol" w:hint="default"/>
      </w:rPr>
    </w:lvl>
    <w:lvl w:ilvl="4" w:tplc="04080003" w:tentative="1">
      <w:start w:val="1"/>
      <w:numFmt w:val="bullet"/>
      <w:lvlText w:val="o"/>
      <w:lvlJc w:val="left"/>
      <w:pPr>
        <w:ind w:left="4575" w:hanging="360"/>
      </w:pPr>
      <w:rPr>
        <w:rFonts w:ascii="Courier New" w:hAnsi="Courier New" w:hint="default"/>
      </w:rPr>
    </w:lvl>
    <w:lvl w:ilvl="5" w:tplc="04080005" w:tentative="1">
      <w:start w:val="1"/>
      <w:numFmt w:val="bullet"/>
      <w:lvlText w:val=""/>
      <w:lvlJc w:val="left"/>
      <w:pPr>
        <w:ind w:left="5295" w:hanging="360"/>
      </w:pPr>
      <w:rPr>
        <w:rFonts w:ascii="Wingdings" w:hAnsi="Wingdings" w:hint="default"/>
      </w:rPr>
    </w:lvl>
    <w:lvl w:ilvl="6" w:tplc="04080001" w:tentative="1">
      <w:start w:val="1"/>
      <w:numFmt w:val="bullet"/>
      <w:lvlText w:val=""/>
      <w:lvlJc w:val="left"/>
      <w:pPr>
        <w:ind w:left="6015" w:hanging="360"/>
      </w:pPr>
      <w:rPr>
        <w:rFonts w:ascii="Symbol" w:hAnsi="Symbol" w:hint="default"/>
      </w:rPr>
    </w:lvl>
    <w:lvl w:ilvl="7" w:tplc="04080003" w:tentative="1">
      <w:start w:val="1"/>
      <w:numFmt w:val="bullet"/>
      <w:lvlText w:val="o"/>
      <w:lvlJc w:val="left"/>
      <w:pPr>
        <w:ind w:left="6735" w:hanging="360"/>
      </w:pPr>
      <w:rPr>
        <w:rFonts w:ascii="Courier New" w:hAnsi="Courier New" w:hint="default"/>
      </w:rPr>
    </w:lvl>
    <w:lvl w:ilvl="8" w:tplc="04080005" w:tentative="1">
      <w:start w:val="1"/>
      <w:numFmt w:val="bullet"/>
      <w:lvlText w:val=""/>
      <w:lvlJc w:val="left"/>
      <w:pPr>
        <w:ind w:left="7455" w:hanging="360"/>
      </w:pPr>
      <w:rPr>
        <w:rFonts w:ascii="Wingdings" w:hAnsi="Wingdings" w:hint="default"/>
      </w:rPr>
    </w:lvl>
  </w:abstractNum>
  <w:abstractNum w:abstractNumId="3">
    <w:nsid w:val="0E980277"/>
    <w:multiLevelType w:val="hybridMultilevel"/>
    <w:tmpl w:val="65E80B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F0033A9"/>
    <w:multiLevelType w:val="hybridMultilevel"/>
    <w:tmpl w:val="6C1004D2"/>
    <w:lvl w:ilvl="0" w:tplc="DBE0D6D6">
      <w:start w:val="1"/>
      <w:numFmt w:val="decimal"/>
      <w:lvlText w:val="%1."/>
      <w:lvlJc w:val="left"/>
      <w:pPr>
        <w:ind w:left="720" w:hanging="360"/>
      </w:pPr>
      <w:rPr>
        <w:rFonts w:ascii="Verdana" w:hAnsi="Verdana" w:cs="Arial" w:hint="default"/>
        <w:sz w:val="18"/>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128642B5"/>
    <w:multiLevelType w:val="hybridMultilevel"/>
    <w:tmpl w:val="EE5AA756"/>
    <w:lvl w:ilvl="0" w:tplc="0408000B">
      <w:start w:val="1"/>
      <w:numFmt w:val="bullet"/>
      <w:lvlText w:val=""/>
      <w:lvlJc w:val="left"/>
      <w:pPr>
        <w:tabs>
          <w:tab w:val="num" w:pos="1150"/>
        </w:tabs>
        <w:ind w:left="1150" w:hanging="360"/>
      </w:pPr>
      <w:rPr>
        <w:rFonts w:ascii="Wingdings" w:hAnsi="Wingdings" w:hint="default"/>
      </w:rPr>
    </w:lvl>
    <w:lvl w:ilvl="1" w:tplc="04080003" w:tentative="1">
      <w:start w:val="1"/>
      <w:numFmt w:val="bullet"/>
      <w:lvlText w:val="o"/>
      <w:lvlJc w:val="left"/>
      <w:pPr>
        <w:tabs>
          <w:tab w:val="num" w:pos="1870"/>
        </w:tabs>
        <w:ind w:left="1870" w:hanging="360"/>
      </w:pPr>
      <w:rPr>
        <w:rFonts w:ascii="Courier New" w:hAnsi="Courier New" w:hint="default"/>
      </w:rPr>
    </w:lvl>
    <w:lvl w:ilvl="2" w:tplc="04080005" w:tentative="1">
      <w:start w:val="1"/>
      <w:numFmt w:val="bullet"/>
      <w:lvlText w:val=""/>
      <w:lvlJc w:val="left"/>
      <w:pPr>
        <w:tabs>
          <w:tab w:val="num" w:pos="2590"/>
        </w:tabs>
        <w:ind w:left="2590" w:hanging="360"/>
      </w:pPr>
      <w:rPr>
        <w:rFonts w:ascii="Wingdings" w:hAnsi="Wingdings" w:hint="default"/>
      </w:rPr>
    </w:lvl>
    <w:lvl w:ilvl="3" w:tplc="04080001" w:tentative="1">
      <w:start w:val="1"/>
      <w:numFmt w:val="bullet"/>
      <w:lvlText w:val=""/>
      <w:lvlJc w:val="left"/>
      <w:pPr>
        <w:tabs>
          <w:tab w:val="num" w:pos="3310"/>
        </w:tabs>
        <w:ind w:left="3310" w:hanging="360"/>
      </w:pPr>
      <w:rPr>
        <w:rFonts w:ascii="Symbol" w:hAnsi="Symbol" w:hint="default"/>
      </w:rPr>
    </w:lvl>
    <w:lvl w:ilvl="4" w:tplc="04080003" w:tentative="1">
      <w:start w:val="1"/>
      <w:numFmt w:val="bullet"/>
      <w:lvlText w:val="o"/>
      <w:lvlJc w:val="left"/>
      <w:pPr>
        <w:tabs>
          <w:tab w:val="num" w:pos="4030"/>
        </w:tabs>
        <w:ind w:left="4030" w:hanging="360"/>
      </w:pPr>
      <w:rPr>
        <w:rFonts w:ascii="Courier New" w:hAnsi="Courier New" w:hint="default"/>
      </w:rPr>
    </w:lvl>
    <w:lvl w:ilvl="5" w:tplc="04080005" w:tentative="1">
      <w:start w:val="1"/>
      <w:numFmt w:val="bullet"/>
      <w:lvlText w:val=""/>
      <w:lvlJc w:val="left"/>
      <w:pPr>
        <w:tabs>
          <w:tab w:val="num" w:pos="4750"/>
        </w:tabs>
        <w:ind w:left="4750" w:hanging="360"/>
      </w:pPr>
      <w:rPr>
        <w:rFonts w:ascii="Wingdings" w:hAnsi="Wingdings" w:hint="default"/>
      </w:rPr>
    </w:lvl>
    <w:lvl w:ilvl="6" w:tplc="04080001" w:tentative="1">
      <w:start w:val="1"/>
      <w:numFmt w:val="bullet"/>
      <w:lvlText w:val=""/>
      <w:lvlJc w:val="left"/>
      <w:pPr>
        <w:tabs>
          <w:tab w:val="num" w:pos="5470"/>
        </w:tabs>
        <w:ind w:left="5470" w:hanging="360"/>
      </w:pPr>
      <w:rPr>
        <w:rFonts w:ascii="Symbol" w:hAnsi="Symbol" w:hint="default"/>
      </w:rPr>
    </w:lvl>
    <w:lvl w:ilvl="7" w:tplc="04080003" w:tentative="1">
      <w:start w:val="1"/>
      <w:numFmt w:val="bullet"/>
      <w:lvlText w:val="o"/>
      <w:lvlJc w:val="left"/>
      <w:pPr>
        <w:tabs>
          <w:tab w:val="num" w:pos="6190"/>
        </w:tabs>
        <w:ind w:left="6190" w:hanging="360"/>
      </w:pPr>
      <w:rPr>
        <w:rFonts w:ascii="Courier New" w:hAnsi="Courier New" w:hint="default"/>
      </w:rPr>
    </w:lvl>
    <w:lvl w:ilvl="8" w:tplc="04080005" w:tentative="1">
      <w:start w:val="1"/>
      <w:numFmt w:val="bullet"/>
      <w:lvlText w:val=""/>
      <w:lvlJc w:val="left"/>
      <w:pPr>
        <w:tabs>
          <w:tab w:val="num" w:pos="6910"/>
        </w:tabs>
        <w:ind w:left="6910" w:hanging="360"/>
      </w:pPr>
      <w:rPr>
        <w:rFonts w:ascii="Wingdings" w:hAnsi="Wingdings" w:hint="default"/>
      </w:rPr>
    </w:lvl>
  </w:abstractNum>
  <w:abstractNum w:abstractNumId="6">
    <w:nsid w:val="1539609E"/>
    <w:multiLevelType w:val="hybridMultilevel"/>
    <w:tmpl w:val="A31C162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BE43637"/>
    <w:multiLevelType w:val="hybridMultilevel"/>
    <w:tmpl w:val="7590A25A"/>
    <w:lvl w:ilvl="0" w:tplc="04080001">
      <w:start w:val="1"/>
      <w:numFmt w:val="bullet"/>
      <w:lvlText w:val=""/>
      <w:lvlJc w:val="left"/>
      <w:pPr>
        <w:tabs>
          <w:tab w:val="num" w:pos="360"/>
        </w:tabs>
        <w:ind w:left="360" w:hanging="360"/>
      </w:pPr>
      <w:rPr>
        <w:rFonts w:ascii="Symbol" w:hAnsi="Symbol" w:hint="default"/>
      </w:rPr>
    </w:lvl>
    <w:lvl w:ilvl="1" w:tplc="0408000F">
      <w:start w:val="1"/>
      <w:numFmt w:val="decimal"/>
      <w:lvlText w:val="%2."/>
      <w:lvlJc w:val="left"/>
      <w:pPr>
        <w:tabs>
          <w:tab w:val="num" w:pos="2160"/>
        </w:tabs>
        <w:ind w:left="2160" w:hanging="360"/>
      </w:pPr>
      <w:rPr>
        <w:rFonts w:cs="Times New Roman"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8">
    <w:nsid w:val="22710CEE"/>
    <w:multiLevelType w:val="multilevel"/>
    <w:tmpl w:val="8C226CD2"/>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344313A"/>
    <w:multiLevelType w:val="hybridMultilevel"/>
    <w:tmpl w:val="90A6CBE2"/>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0">
    <w:nsid w:val="3A917BB6"/>
    <w:multiLevelType w:val="hybridMultilevel"/>
    <w:tmpl w:val="5A18E86E"/>
    <w:lvl w:ilvl="0" w:tplc="0408000B">
      <w:start w:val="1"/>
      <w:numFmt w:val="bullet"/>
      <w:lvlText w:val=""/>
      <w:lvlJc w:val="left"/>
      <w:pPr>
        <w:tabs>
          <w:tab w:val="num" w:pos="1150"/>
        </w:tabs>
        <w:ind w:left="115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555291"/>
    <w:multiLevelType w:val="hybridMultilevel"/>
    <w:tmpl w:val="822A0744"/>
    <w:lvl w:ilvl="0" w:tplc="0408000B">
      <w:start w:val="1"/>
      <w:numFmt w:val="bullet"/>
      <w:lvlText w:val=""/>
      <w:lvlJc w:val="left"/>
      <w:pPr>
        <w:tabs>
          <w:tab w:val="num" w:pos="790"/>
        </w:tabs>
        <w:ind w:left="790" w:hanging="360"/>
      </w:pPr>
      <w:rPr>
        <w:rFonts w:ascii="Wingdings" w:hAnsi="Wingdings" w:hint="default"/>
      </w:rPr>
    </w:lvl>
    <w:lvl w:ilvl="1" w:tplc="04080003" w:tentative="1">
      <w:start w:val="1"/>
      <w:numFmt w:val="bullet"/>
      <w:lvlText w:val="o"/>
      <w:lvlJc w:val="left"/>
      <w:pPr>
        <w:tabs>
          <w:tab w:val="num" w:pos="1510"/>
        </w:tabs>
        <w:ind w:left="1510" w:hanging="360"/>
      </w:pPr>
      <w:rPr>
        <w:rFonts w:ascii="Courier New" w:hAnsi="Courier New" w:hint="default"/>
      </w:rPr>
    </w:lvl>
    <w:lvl w:ilvl="2" w:tplc="04080005" w:tentative="1">
      <w:start w:val="1"/>
      <w:numFmt w:val="bullet"/>
      <w:lvlText w:val=""/>
      <w:lvlJc w:val="left"/>
      <w:pPr>
        <w:tabs>
          <w:tab w:val="num" w:pos="2230"/>
        </w:tabs>
        <w:ind w:left="2230" w:hanging="360"/>
      </w:pPr>
      <w:rPr>
        <w:rFonts w:ascii="Wingdings" w:hAnsi="Wingdings" w:hint="default"/>
      </w:rPr>
    </w:lvl>
    <w:lvl w:ilvl="3" w:tplc="04080001" w:tentative="1">
      <w:start w:val="1"/>
      <w:numFmt w:val="bullet"/>
      <w:lvlText w:val=""/>
      <w:lvlJc w:val="left"/>
      <w:pPr>
        <w:tabs>
          <w:tab w:val="num" w:pos="2950"/>
        </w:tabs>
        <w:ind w:left="2950" w:hanging="360"/>
      </w:pPr>
      <w:rPr>
        <w:rFonts w:ascii="Symbol" w:hAnsi="Symbol" w:hint="default"/>
      </w:rPr>
    </w:lvl>
    <w:lvl w:ilvl="4" w:tplc="04080003" w:tentative="1">
      <w:start w:val="1"/>
      <w:numFmt w:val="bullet"/>
      <w:lvlText w:val="o"/>
      <w:lvlJc w:val="left"/>
      <w:pPr>
        <w:tabs>
          <w:tab w:val="num" w:pos="3670"/>
        </w:tabs>
        <w:ind w:left="3670" w:hanging="360"/>
      </w:pPr>
      <w:rPr>
        <w:rFonts w:ascii="Courier New" w:hAnsi="Courier New" w:hint="default"/>
      </w:rPr>
    </w:lvl>
    <w:lvl w:ilvl="5" w:tplc="04080005" w:tentative="1">
      <w:start w:val="1"/>
      <w:numFmt w:val="bullet"/>
      <w:lvlText w:val=""/>
      <w:lvlJc w:val="left"/>
      <w:pPr>
        <w:tabs>
          <w:tab w:val="num" w:pos="4390"/>
        </w:tabs>
        <w:ind w:left="4390" w:hanging="360"/>
      </w:pPr>
      <w:rPr>
        <w:rFonts w:ascii="Wingdings" w:hAnsi="Wingdings" w:hint="default"/>
      </w:rPr>
    </w:lvl>
    <w:lvl w:ilvl="6" w:tplc="04080001" w:tentative="1">
      <w:start w:val="1"/>
      <w:numFmt w:val="bullet"/>
      <w:lvlText w:val=""/>
      <w:lvlJc w:val="left"/>
      <w:pPr>
        <w:tabs>
          <w:tab w:val="num" w:pos="5110"/>
        </w:tabs>
        <w:ind w:left="5110" w:hanging="360"/>
      </w:pPr>
      <w:rPr>
        <w:rFonts w:ascii="Symbol" w:hAnsi="Symbol" w:hint="default"/>
      </w:rPr>
    </w:lvl>
    <w:lvl w:ilvl="7" w:tplc="04080003" w:tentative="1">
      <w:start w:val="1"/>
      <w:numFmt w:val="bullet"/>
      <w:lvlText w:val="o"/>
      <w:lvlJc w:val="left"/>
      <w:pPr>
        <w:tabs>
          <w:tab w:val="num" w:pos="5830"/>
        </w:tabs>
        <w:ind w:left="5830" w:hanging="360"/>
      </w:pPr>
      <w:rPr>
        <w:rFonts w:ascii="Courier New" w:hAnsi="Courier New" w:hint="default"/>
      </w:rPr>
    </w:lvl>
    <w:lvl w:ilvl="8" w:tplc="04080005" w:tentative="1">
      <w:start w:val="1"/>
      <w:numFmt w:val="bullet"/>
      <w:lvlText w:val=""/>
      <w:lvlJc w:val="left"/>
      <w:pPr>
        <w:tabs>
          <w:tab w:val="num" w:pos="6550"/>
        </w:tabs>
        <w:ind w:left="6550" w:hanging="360"/>
      </w:pPr>
      <w:rPr>
        <w:rFonts w:ascii="Wingdings" w:hAnsi="Wingdings" w:hint="default"/>
      </w:rPr>
    </w:lvl>
  </w:abstractNum>
  <w:abstractNum w:abstractNumId="12">
    <w:nsid w:val="46FC6E91"/>
    <w:multiLevelType w:val="hybridMultilevel"/>
    <w:tmpl w:val="F81E57B4"/>
    <w:lvl w:ilvl="0" w:tplc="9CDAC53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8D7A9B"/>
    <w:multiLevelType w:val="hybridMultilevel"/>
    <w:tmpl w:val="742C52A2"/>
    <w:lvl w:ilvl="0" w:tplc="5CB88C64">
      <w:start w:val="5"/>
      <w:numFmt w:val="bullet"/>
      <w:lvlText w:val="-"/>
      <w:lvlJc w:val="left"/>
      <w:pPr>
        <w:tabs>
          <w:tab w:val="num" w:pos="1080"/>
        </w:tabs>
        <w:ind w:left="1080" w:hanging="720"/>
      </w:pPr>
      <w:rPr>
        <w:rFonts w:ascii="Tahoma" w:eastAsia="Times New Roman"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58963E2B"/>
    <w:multiLevelType w:val="hybridMultilevel"/>
    <w:tmpl w:val="57FCEEA4"/>
    <w:lvl w:ilvl="0" w:tplc="0408000B">
      <w:start w:val="1"/>
      <w:numFmt w:val="bullet"/>
      <w:lvlText w:val=""/>
      <w:lvlJc w:val="left"/>
      <w:pPr>
        <w:tabs>
          <w:tab w:val="num" w:pos="720"/>
        </w:tabs>
        <w:ind w:left="720" w:hanging="360"/>
      </w:pPr>
      <w:rPr>
        <w:rFonts w:ascii="Wingdings" w:hAnsi="Wingdings" w:hint="default"/>
      </w:rPr>
    </w:lvl>
    <w:lvl w:ilvl="1" w:tplc="634E3F4C">
      <w:start w:val="3"/>
      <w:numFmt w:val="bullet"/>
      <w:lvlText w:val="-"/>
      <w:lvlJc w:val="left"/>
      <w:pPr>
        <w:tabs>
          <w:tab w:val="num" w:pos="1440"/>
        </w:tabs>
        <w:ind w:left="1440" w:hanging="360"/>
      </w:pPr>
      <w:rPr>
        <w:rFonts w:ascii="Tahoma" w:eastAsia="Times New Roman" w:hAnsi="Tahoma"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60350E40"/>
    <w:multiLevelType w:val="hybridMultilevel"/>
    <w:tmpl w:val="CCBA73B8"/>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6">
    <w:nsid w:val="6162380B"/>
    <w:multiLevelType w:val="hybridMultilevel"/>
    <w:tmpl w:val="60CCE6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4CE7036"/>
    <w:multiLevelType w:val="hybridMultilevel"/>
    <w:tmpl w:val="54E8BCB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655E1CBA"/>
    <w:multiLevelType w:val="hybridMultilevel"/>
    <w:tmpl w:val="7D604A4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6679037D"/>
    <w:multiLevelType w:val="hybridMultilevel"/>
    <w:tmpl w:val="F90E2584"/>
    <w:lvl w:ilvl="0" w:tplc="9CDAC53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F7A6132"/>
    <w:multiLevelType w:val="hybridMultilevel"/>
    <w:tmpl w:val="DA84863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1">
    <w:nsid w:val="7D3F1DDE"/>
    <w:multiLevelType w:val="hybridMultilevel"/>
    <w:tmpl w:val="EFAAF2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7F5B0D4A"/>
    <w:multiLevelType w:val="hybridMultilevel"/>
    <w:tmpl w:val="154C6E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16"/>
  </w:num>
  <w:num w:numId="4">
    <w:abstractNumId w:val="4"/>
  </w:num>
  <w:num w:numId="5">
    <w:abstractNumId w:val="14"/>
  </w:num>
  <w:num w:numId="6">
    <w:abstractNumId w:val="0"/>
  </w:num>
  <w:num w:numId="7">
    <w:abstractNumId w:val="11"/>
  </w:num>
  <w:num w:numId="8">
    <w:abstractNumId w:val="5"/>
  </w:num>
  <w:num w:numId="9">
    <w:abstractNumId w:val="10"/>
  </w:num>
  <w:num w:numId="10">
    <w:abstractNumId w:val="19"/>
  </w:num>
  <w:num w:numId="11">
    <w:abstractNumId w:val="12"/>
  </w:num>
  <w:num w:numId="12">
    <w:abstractNumId w:val="1"/>
  </w:num>
  <w:num w:numId="13">
    <w:abstractNumId w:val="15"/>
  </w:num>
  <w:num w:numId="14">
    <w:abstractNumId w:val="3"/>
  </w:num>
  <w:num w:numId="15">
    <w:abstractNumId w:val="17"/>
  </w:num>
  <w:num w:numId="16">
    <w:abstractNumId w:val="9"/>
  </w:num>
  <w:num w:numId="17">
    <w:abstractNumId w:val="6"/>
  </w:num>
  <w:num w:numId="18">
    <w:abstractNumId w:val="22"/>
  </w:num>
  <w:num w:numId="19">
    <w:abstractNumId w:val="21"/>
  </w:num>
  <w:num w:numId="20">
    <w:abstractNumId w:val="18"/>
  </w:num>
  <w:num w:numId="21">
    <w:abstractNumId w:val="13"/>
  </w:num>
  <w:num w:numId="22">
    <w:abstractNumId w:val="2"/>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2C3"/>
    <w:rsid w:val="00022641"/>
    <w:rsid w:val="00045FC6"/>
    <w:rsid w:val="00047429"/>
    <w:rsid w:val="00050CF1"/>
    <w:rsid w:val="00081287"/>
    <w:rsid w:val="00091ED0"/>
    <w:rsid w:val="0009655D"/>
    <w:rsid w:val="000B6FA9"/>
    <w:rsid w:val="000D4806"/>
    <w:rsid w:val="000F3FA0"/>
    <w:rsid w:val="00103532"/>
    <w:rsid w:val="00124F4B"/>
    <w:rsid w:val="00136E1E"/>
    <w:rsid w:val="001419EB"/>
    <w:rsid w:val="001728F5"/>
    <w:rsid w:val="001772C3"/>
    <w:rsid w:val="001B3626"/>
    <w:rsid w:val="001F3FD0"/>
    <w:rsid w:val="001F72BE"/>
    <w:rsid w:val="002346B2"/>
    <w:rsid w:val="00265F82"/>
    <w:rsid w:val="00270756"/>
    <w:rsid w:val="0027197C"/>
    <w:rsid w:val="002951E5"/>
    <w:rsid w:val="002E69C2"/>
    <w:rsid w:val="00323E2E"/>
    <w:rsid w:val="003251F4"/>
    <w:rsid w:val="003628AE"/>
    <w:rsid w:val="003658A7"/>
    <w:rsid w:val="003806EC"/>
    <w:rsid w:val="003A322E"/>
    <w:rsid w:val="003C4803"/>
    <w:rsid w:val="004118C5"/>
    <w:rsid w:val="00427C7C"/>
    <w:rsid w:val="00464890"/>
    <w:rsid w:val="0046676B"/>
    <w:rsid w:val="00547959"/>
    <w:rsid w:val="00555E5A"/>
    <w:rsid w:val="00594DA3"/>
    <w:rsid w:val="005A0CE5"/>
    <w:rsid w:val="005A2954"/>
    <w:rsid w:val="005A5223"/>
    <w:rsid w:val="005B3AF0"/>
    <w:rsid w:val="005E0F19"/>
    <w:rsid w:val="005F1CF8"/>
    <w:rsid w:val="006075A0"/>
    <w:rsid w:val="00613ECE"/>
    <w:rsid w:val="00641333"/>
    <w:rsid w:val="00665A71"/>
    <w:rsid w:val="006756EF"/>
    <w:rsid w:val="006E2BA9"/>
    <w:rsid w:val="007017B5"/>
    <w:rsid w:val="007108F5"/>
    <w:rsid w:val="00720F1F"/>
    <w:rsid w:val="00727B95"/>
    <w:rsid w:val="007510CC"/>
    <w:rsid w:val="00762BE2"/>
    <w:rsid w:val="00775A78"/>
    <w:rsid w:val="0078474E"/>
    <w:rsid w:val="007949BF"/>
    <w:rsid w:val="007963DE"/>
    <w:rsid w:val="007D5775"/>
    <w:rsid w:val="007F3003"/>
    <w:rsid w:val="00805E78"/>
    <w:rsid w:val="00810DF6"/>
    <w:rsid w:val="00812211"/>
    <w:rsid w:val="00813266"/>
    <w:rsid w:val="00847B00"/>
    <w:rsid w:val="00855EB4"/>
    <w:rsid w:val="00867740"/>
    <w:rsid w:val="008A4174"/>
    <w:rsid w:val="00934E44"/>
    <w:rsid w:val="009456C8"/>
    <w:rsid w:val="00952066"/>
    <w:rsid w:val="0095760F"/>
    <w:rsid w:val="0096408A"/>
    <w:rsid w:val="009A5064"/>
    <w:rsid w:val="009B22C9"/>
    <w:rsid w:val="009F6320"/>
    <w:rsid w:val="00A00454"/>
    <w:rsid w:val="00A066C9"/>
    <w:rsid w:val="00A20E47"/>
    <w:rsid w:val="00A316F5"/>
    <w:rsid w:val="00A35DD1"/>
    <w:rsid w:val="00A729BA"/>
    <w:rsid w:val="00A7715B"/>
    <w:rsid w:val="00A81769"/>
    <w:rsid w:val="00AA34D4"/>
    <w:rsid w:val="00AC1578"/>
    <w:rsid w:val="00AC4D69"/>
    <w:rsid w:val="00AC5AAD"/>
    <w:rsid w:val="00AE3BE0"/>
    <w:rsid w:val="00AF695C"/>
    <w:rsid w:val="00B10767"/>
    <w:rsid w:val="00B11FDA"/>
    <w:rsid w:val="00B1276D"/>
    <w:rsid w:val="00B573DB"/>
    <w:rsid w:val="00B8755D"/>
    <w:rsid w:val="00B9574E"/>
    <w:rsid w:val="00BB230A"/>
    <w:rsid w:val="00BC39F4"/>
    <w:rsid w:val="00BD6EE5"/>
    <w:rsid w:val="00BE77B6"/>
    <w:rsid w:val="00BF1B46"/>
    <w:rsid w:val="00C04193"/>
    <w:rsid w:val="00C06A32"/>
    <w:rsid w:val="00C11C68"/>
    <w:rsid w:val="00C16D14"/>
    <w:rsid w:val="00C379DA"/>
    <w:rsid w:val="00C53344"/>
    <w:rsid w:val="00C55213"/>
    <w:rsid w:val="00C61D4C"/>
    <w:rsid w:val="00C75D62"/>
    <w:rsid w:val="00CA095D"/>
    <w:rsid w:val="00CA1BD9"/>
    <w:rsid w:val="00CB0291"/>
    <w:rsid w:val="00D05672"/>
    <w:rsid w:val="00D14751"/>
    <w:rsid w:val="00D32A45"/>
    <w:rsid w:val="00D56D9F"/>
    <w:rsid w:val="00DB2DCC"/>
    <w:rsid w:val="00DC6C19"/>
    <w:rsid w:val="00DC6F4C"/>
    <w:rsid w:val="00DE2336"/>
    <w:rsid w:val="00DF1EA3"/>
    <w:rsid w:val="00E17AF6"/>
    <w:rsid w:val="00EB7703"/>
    <w:rsid w:val="00EE10CB"/>
    <w:rsid w:val="00EF4894"/>
    <w:rsid w:val="00F04A08"/>
    <w:rsid w:val="00F26733"/>
    <w:rsid w:val="00F43A33"/>
    <w:rsid w:val="00F55059"/>
    <w:rsid w:val="00F659C8"/>
    <w:rsid w:val="00F67FB6"/>
    <w:rsid w:val="00F802D4"/>
    <w:rsid w:val="00F817F7"/>
    <w:rsid w:val="00FC0416"/>
    <w:rsid w:val="00FC5AF4"/>
    <w:rsid w:val="00FD6113"/>
    <w:rsid w:val="00FF2120"/>
    <w:rsid w:val="00FF323B"/>
    <w:rsid w:val="00FF681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E69C2"/>
    <w:pPr>
      <w:widowControl w:val="0"/>
      <w:autoSpaceDE w:val="0"/>
      <w:autoSpaceDN w:val="0"/>
      <w:adjustRightInd w:val="0"/>
    </w:pPr>
    <w:rPr>
      <w:rFonts w:ascii="Arial" w:hAnsi="Arial" w:cs="Arial"/>
      <w:sz w:val="20"/>
      <w:szCs w:val="20"/>
    </w:rPr>
  </w:style>
  <w:style w:type="paragraph" w:styleId="Heading1">
    <w:name w:val="heading 1"/>
    <w:basedOn w:val="Normal"/>
    <w:next w:val="Normal"/>
    <w:link w:val="Heading1Char"/>
    <w:uiPriority w:val="99"/>
    <w:qFormat/>
    <w:rsid w:val="00FD6113"/>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FD6113"/>
    <w:pPr>
      <w:keepNext/>
      <w:keepLines/>
      <w:widowControl/>
      <w:autoSpaceDE/>
      <w:autoSpaceDN/>
      <w:adjustRightInd/>
      <w:spacing w:before="40" w:line="259" w:lineRule="auto"/>
      <w:outlineLvl w:val="1"/>
    </w:pPr>
    <w:rPr>
      <w:rFonts w:ascii="Cambria" w:hAnsi="Cambria" w:cs="Times New Roman"/>
      <w:color w:val="365F91"/>
      <w:sz w:val="26"/>
      <w:szCs w:val="26"/>
      <w:lang w:eastAsia="en-US"/>
    </w:rPr>
  </w:style>
  <w:style w:type="paragraph" w:styleId="Heading3">
    <w:name w:val="heading 3"/>
    <w:basedOn w:val="Normal"/>
    <w:next w:val="Normal"/>
    <w:link w:val="Heading3Char"/>
    <w:uiPriority w:val="99"/>
    <w:qFormat/>
    <w:rsid w:val="00FD6113"/>
    <w:pPr>
      <w:keepNext/>
      <w:keepLines/>
      <w:widowControl/>
      <w:autoSpaceDE/>
      <w:autoSpaceDN/>
      <w:adjustRightInd/>
      <w:spacing w:before="40" w:line="259" w:lineRule="auto"/>
      <w:outlineLvl w:val="2"/>
    </w:pPr>
    <w:rPr>
      <w:rFonts w:ascii="Cambria" w:hAnsi="Cambria" w:cs="Times New Roman"/>
      <w:color w:val="243F60"/>
      <w:sz w:val="24"/>
      <w:szCs w:val="24"/>
      <w:lang w:eastAsia="en-US"/>
    </w:rPr>
  </w:style>
  <w:style w:type="paragraph" w:styleId="Heading4">
    <w:name w:val="heading 4"/>
    <w:basedOn w:val="Normal"/>
    <w:next w:val="Normal"/>
    <w:link w:val="Heading4Char"/>
    <w:uiPriority w:val="99"/>
    <w:qFormat/>
    <w:rsid w:val="00FD6113"/>
    <w:pPr>
      <w:keepNext/>
      <w:widowControl/>
      <w:autoSpaceDE/>
      <w:autoSpaceDN/>
      <w:adjustRightInd/>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9"/>
    <w:qFormat/>
    <w:rsid w:val="00FD6113"/>
    <w:pPr>
      <w:widowControl/>
      <w:autoSpaceDE/>
      <w:autoSpaceDN/>
      <w:adjustRightInd/>
      <w:spacing w:before="240" w:after="60"/>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9"/>
    <w:qFormat/>
    <w:rsid w:val="00FD6113"/>
    <w:pPr>
      <w:widowControl/>
      <w:autoSpaceDE/>
      <w:autoSpaceDN/>
      <w:adjustRightInd/>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99"/>
    <w:qFormat/>
    <w:rsid w:val="00FD6113"/>
    <w:pPr>
      <w:widowControl/>
      <w:autoSpaceDE/>
      <w:autoSpaceDN/>
      <w:adjustRightInd/>
      <w:spacing w:before="240" w:after="60"/>
      <w:outlineLvl w:val="6"/>
    </w:pPr>
    <w:rPr>
      <w:rFonts w:ascii="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6113"/>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FD6113"/>
    <w:rPr>
      <w:rFonts w:ascii="Cambria" w:hAnsi="Cambria" w:cs="Times New Roman"/>
      <w:color w:val="365F91"/>
      <w:sz w:val="26"/>
      <w:szCs w:val="26"/>
      <w:lang w:eastAsia="en-US"/>
    </w:rPr>
  </w:style>
  <w:style w:type="character" w:customStyle="1" w:styleId="Heading3Char">
    <w:name w:val="Heading 3 Char"/>
    <w:basedOn w:val="DefaultParagraphFont"/>
    <w:link w:val="Heading3"/>
    <w:uiPriority w:val="99"/>
    <w:locked/>
    <w:rsid w:val="00FD6113"/>
    <w:rPr>
      <w:rFonts w:ascii="Cambria" w:hAnsi="Cambria" w:cs="Times New Roman"/>
      <w:color w:val="243F60"/>
      <w:sz w:val="24"/>
      <w:szCs w:val="24"/>
      <w:lang w:eastAsia="en-US"/>
    </w:rPr>
  </w:style>
  <w:style w:type="character" w:customStyle="1" w:styleId="Heading4Char">
    <w:name w:val="Heading 4 Char"/>
    <w:basedOn w:val="DefaultParagraphFont"/>
    <w:link w:val="Heading4"/>
    <w:uiPriority w:val="99"/>
    <w:locked/>
    <w:rsid w:val="00FD6113"/>
    <w:rPr>
      <w:rFonts w:cs="Times New Roman"/>
      <w:b/>
      <w:bCs/>
      <w:sz w:val="28"/>
      <w:szCs w:val="28"/>
    </w:rPr>
  </w:style>
  <w:style w:type="character" w:customStyle="1" w:styleId="Heading5Char">
    <w:name w:val="Heading 5 Char"/>
    <w:basedOn w:val="DefaultParagraphFont"/>
    <w:link w:val="Heading5"/>
    <w:uiPriority w:val="99"/>
    <w:locked/>
    <w:rsid w:val="00FD6113"/>
    <w:rPr>
      <w:rFonts w:cs="Times New Roman"/>
      <w:b/>
      <w:bCs/>
      <w:i/>
      <w:iCs/>
      <w:sz w:val="26"/>
      <w:szCs w:val="26"/>
    </w:rPr>
  </w:style>
  <w:style w:type="character" w:customStyle="1" w:styleId="Heading6Char">
    <w:name w:val="Heading 6 Char"/>
    <w:basedOn w:val="DefaultParagraphFont"/>
    <w:link w:val="Heading6"/>
    <w:uiPriority w:val="99"/>
    <w:locked/>
    <w:rsid w:val="00FD6113"/>
    <w:rPr>
      <w:rFonts w:cs="Times New Roman"/>
      <w:b/>
      <w:bCs/>
      <w:sz w:val="22"/>
      <w:szCs w:val="22"/>
    </w:rPr>
  </w:style>
  <w:style w:type="character" w:customStyle="1" w:styleId="Heading7Char">
    <w:name w:val="Heading 7 Char"/>
    <w:basedOn w:val="DefaultParagraphFont"/>
    <w:link w:val="Heading7"/>
    <w:uiPriority w:val="99"/>
    <w:locked/>
    <w:rsid w:val="00FD6113"/>
    <w:rPr>
      <w:rFonts w:cs="Times New Roman"/>
      <w:sz w:val="24"/>
      <w:szCs w:val="24"/>
    </w:rPr>
  </w:style>
  <w:style w:type="paragraph" w:styleId="FootnoteText">
    <w:name w:val="footnote text"/>
    <w:aliases w:val="Char"/>
    <w:basedOn w:val="Normal"/>
    <w:link w:val="FootnoteTextChar"/>
    <w:uiPriority w:val="99"/>
    <w:semiHidden/>
    <w:rsid w:val="00867740"/>
    <w:pPr>
      <w:widowControl/>
      <w:autoSpaceDE/>
      <w:autoSpaceDN/>
      <w:adjustRightInd/>
      <w:spacing w:after="200" w:line="276" w:lineRule="auto"/>
    </w:pPr>
  </w:style>
  <w:style w:type="character" w:customStyle="1" w:styleId="FootnoteTextChar">
    <w:name w:val="Footnote Text Char"/>
    <w:aliases w:val="Char Char"/>
    <w:basedOn w:val="DefaultParagraphFont"/>
    <w:link w:val="FootnoteText"/>
    <w:uiPriority w:val="99"/>
    <w:semiHidden/>
    <w:locked/>
    <w:rsid w:val="00867740"/>
    <w:rPr>
      <w:rFonts w:ascii="Arial" w:hAnsi="Arial" w:cs="Arial"/>
      <w:lang w:val="el-GR" w:eastAsia="el-GR" w:bidi="ar-SA"/>
    </w:rPr>
  </w:style>
  <w:style w:type="character" w:styleId="FootnoteReference">
    <w:name w:val="footnote reference"/>
    <w:basedOn w:val="DefaultParagraphFont"/>
    <w:uiPriority w:val="99"/>
    <w:semiHidden/>
    <w:rsid w:val="00867740"/>
    <w:rPr>
      <w:rFonts w:cs="Times New Roman"/>
      <w:vertAlign w:val="superscript"/>
    </w:rPr>
  </w:style>
  <w:style w:type="character" w:styleId="Strong">
    <w:name w:val="Strong"/>
    <w:basedOn w:val="DefaultParagraphFont"/>
    <w:uiPriority w:val="99"/>
    <w:qFormat/>
    <w:rsid w:val="00CA1BD9"/>
    <w:rPr>
      <w:rFonts w:cs="Times New Roman"/>
      <w:b/>
    </w:rPr>
  </w:style>
  <w:style w:type="paragraph" w:customStyle="1" w:styleId="1">
    <w:name w:val="Παράγραφος λίστας1"/>
    <w:basedOn w:val="Normal"/>
    <w:uiPriority w:val="99"/>
    <w:rsid w:val="00BE77B6"/>
    <w:pPr>
      <w:ind w:left="720"/>
      <w:contextualSpacing/>
    </w:pPr>
  </w:style>
  <w:style w:type="paragraph" w:styleId="NormalWeb">
    <w:name w:val="Normal (Web)"/>
    <w:basedOn w:val="Normal"/>
    <w:uiPriority w:val="99"/>
    <w:rsid w:val="00F43A33"/>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reference-text">
    <w:name w:val="reference-text"/>
    <w:uiPriority w:val="99"/>
    <w:rsid w:val="00F43A33"/>
  </w:style>
  <w:style w:type="character" w:customStyle="1" w:styleId="7">
    <w:name w:val="Σώμα κειμένου (7)_"/>
    <w:basedOn w:val="DefaultParagraphFont"/>
    <w:link w:val="70"/>
    <w:uiPriority w:val="99"/>
    <w:locked/>
    <w:rsid w:val="00FD6113"/>
    <w:rPr>
      <w:rFonts w:cs="Times New Roman"/>
      <w:b/>
      <w:bCs/>
      <w:sz w:val="36"/>
      <w:szCs w:val="36"/>
      <w:shd w:val="clear" w:color="auto" w:fill="FFFFFF"/>
    </w:rPr>
  </w:style>
  <w:style w:type="paragraph" w:customStyle="1" w:styleId="70">
    <w:name w:val="Σώμα κειμένου (7)"/>
    <w:basedOn w:val="Normal"/>
    <w:link w:val="7"/>
    <w:uiPriority w:val="99"/>
    <w:rsid w:val="00FD6113"/>
    <w:pPr>
      <w:shd w:val="clear" w:color="auto" w:fill="FFFFFF"/>
      <w:autoSpaceDE/>
      <w:autoSpaceDN/>
      <w:adjustRightInd/>
      <w:spacing w:before="540" w:after="180" w:line="240" w:lineRule="atLeast"/>
    </w:pPr>
    <w:rPr>
      <w:rFonts w:ascii="Times New Roman" w:hAnsi="Times New Roman" w:cs="Times New Roman"/>
      <w:b/>
      <w:bCs/>
      <w:sz w:val="36"/>
      <w:szCs w:val="36"/>
    </w:rPr>
  </w:style>
  <w:style w:type="character" w:customStyle="1" w:styleId="10">
    <w:name w:val="Επικεφαλίδα #1_"/>
    <w:basedOn w:val="DefaultParagraphFont"/>
    <w:link w:val="11"/>
    <w:uiPriority w:val="99"/>
    <w:locked/>
    <w:rsid w:val="00FD6113"/>
    <w:rPr>
      <w:rFonts w:cs="Times New Roman"/>
      <w:b/>
      <w:bCs/>
      <w:sz w:val="28"/>
      <w:szCs w:val="28"/>
      <w:shd w:val="clear" w:color="auto" w:fill="FFFFFF"/>
    </w:rPr>
  </w:style>
  <w:style w:type="paragraph" w:customStyle="1" w:styleId="11">
    <w:name w:val="Επικεφαλίδα #1"/>
    <w:basedOn w:val="Normal"/>
    <w:link w:val="10"/>
    <w:uiPriority w:val="99"/>
    <w:rsid w:val="00FD6113"/>
    <w:pPr>
      <w:shd w:val="clear" w:color="auto" w:fill="FFFFFF"/>
      <w:autoSpaceDE/>
      <w:autoSpaceDN/>
      <w:adjustRightInd/>
      <w:spacing w:before="180" w:line="864" w:lineRule="exact"/>
      <w:ind w:hanging="380"/>
      <w:outlineLvl w:val="0"/>
    </w:pPr>
    <w:rPr>
      <w:rFonts w:ascii="Times New Roman" w:hAnsi="Times New Roman" w:cs="Times New Roman"/>
      <w:b/>
      <w:bCs/>
      <w:sz w:val="28"/>
      <w:szCs w:val="28"/>
    </w:rPr>
  </w:style>
  <w:style w:type="character" w:customStyle="1" w:styleId="BalloonTextChar">
    <w:name w:val="Balloon Text Char"/>
    <w:basedOn w:val="DefaultParagraphFont"/>
    <w:link w:val="BalloonText"/>
    <w:uiPriority w:val="99"/>
    <w:semiHidden/>
    <w:locked/>
    <w:rsid w:val="00FD6113"/>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rsid w:val="00FD6113"/>
    <w:pPr>
      <w:widowControl/>
      <w:autoSpaceDE/>
      <w:autoSpaceDN/>
      <w:adjustRightInd/>
    </w:pPr>
    <w:rPr>
      <w:rFonts w:ascii="Segoe UI" w:hAnsi="Segoe UI" w:cs="Segoe UI"/>
      <w:sz w:val="18"/>
      <w:szCs w:val="18"/>
      <w:lang w:eastAsia="en-US"/>
    </w:rPr>
  </w:style>
  <w:style w:type="character" w:customStyle="1" w:styleId="BalloonTextChar1">
    <w:name w:val="Balloon Text Char1"/>
    <w:basedOn w:val="DefaultParagraphFont"/>
    <w:link w:val="BalloonText"/>
    <w:uiPriority w:val="99"/>
    <w:semiHidden/>
    <w:rsid w:val="0095440F"/>
    <w:rPr>
      <w:rFonts w:cs="Arial"/>
      <w:sz w:val="0"/>
      <w:szCs w:val="0"/>
    </w:rPr>
  </w:style>
  <w:style w:type="character" w:customStyle="1" w:styleId="2">
    <w:name w:val="Σώμα κειμένου (2)_"/>
    <w:basedOn w:val="DefaultParagraphFont"/>
    <w:link w:val="20"/>
    <w:uiPriority w:val="99"/>
    <w:locked/>
    <w:rsid w:val="00FD6113"/>
    <w:rPr>
      <w:rFonts w:cs="Times New Roman"/>
      <w:shd w:val="clear" w:color="auto" w:fill="FFFFFF"/>
    </w:rPr>
  </w:style>
  <w:style w:type="paragraph" w:customStyle="1" w:styleId="20">
    <w:name w:val="Σώμα κειμένου (2)"/>
    <w:basedOn w:val="Normal"/>
    <w:link w:val="2"/>
    <w:uiPriority w:val="99"/>
    <w:rsid w:val="00FD6113"/>
    <w:pPr>
      <w:shd w:val="clear" w:color="auto" w:fill="FFFFFF"/>
      <w:autoSpaceDE/>
      <w:autoSpaceDN/>
      <w:adjustRightInd/>
      <w:spacing w:line="274" w:lineRule="exact"/>
      <w:ind w:hanging="660"/>
      <w:jc w:val="both"/>
    </w:pPr>
    <w:rPr>
      <w:rFonts w:ascii="Times New Roman" w:hAnsi="Times New Roman" w:cs="Times New Roman"/>
    </w:rPr>
  </w:style>
  <w:style w:type="character" w:customStyle="1" w:styleId="CommentTextChar">
    <w:name w:val="Comment Text Char"/>
    <w:basedOn w:val="DefaultParagraphFont"/>
    <w:link w:val="CommentText"/>
    <w:uiPriority w:val="99"/>
    <w:semiHidden/>
    <w:locked/>
    <w:rsid w:val="00FD6113"/>
    <w:rPr>
      <w:rFonts w:ascii="Calibri" w:eastAsia="Times New Roman" w:hAnsi="Calibri" w:cs="Times New Roman"/>
      <w:lang w:eastAsia="en-US"/>
    </w:rPr>
  </w:style>
  <w:style w:type="paragraph" w:styleId="CommentText">
    <w:name w:val="annotation text"/>
    <w:basedOn w:val="Normal"/>
    <w:link w:val="CommentTextChar"/>
    <w:uiPriority w:val="99"/>
    <w:semiHidden/>
    <w:rsid w:val="00FD6113"/>
    <w:pPr>
      <w:widowControl/>
      <w:autoSpaceDE/>
      <w:autoSpaceDN/>
      <w:adjustRightInd/>
      <w:spacing w:after="160"/>
    </w:pPr>
    <w:rPr>
      <w:rFonts w:ascii="Calibri" w:hAnsi="Calibri" w:cs="Times New Roman"/>
      <w:lang w:eastAsia="en-US"/>
    </w:rPr>
  </w:style>
  <w:style w:type="character" w:customStyle="1" w:styleId="CommentTextChar1">
    <w:name w:val="Comment Text Char1"/>
    <w:basedOn w:val="DefaultParagraphFont"/>
    <w:link w:val="CommentText"/>
    <w:uiPriority w:val="99"/>
    <w:semiHidden/>
    <w:rsid w:val="0095440F"/>
    <w:rPr>
      <w:rFonts w:ascii="Arial" w:hAnsi="Arial" w:cs="Arial"/>
      <w:sz w:val="20"/>
      <w:szCs w:val="20"/>
    </w:rPr>
  </w:style>
  <w:style w:type="character" w:customStyle="1" w:styleId="CommentSubjectChar">
    <w:name w:val="Comment Subject Char"/>
    <w:basedOn w:val="CommentTextChar"/>
    <w:link w:val="CommentSubject"/>
    <w:uiPriority w:val="99"/>
    <w:semiHidden/>
    <w:locked/>
    <w:rsid w:val="00FD6113"/>
    <w:rPr>
      <w:b/>
      <w:bCs/>
    </w:rPr>
  </w:style>
  <w:style w:type="paragraph" w:styleId="CommentSubject">
    <w:name w:val="annotation subject"/>
    <w:basedOn w:val="CommentText"/>
    <w:next w:val="CommentText"/>
    <w:link w:val="CommentSubjectChar"/>
    <w:uiPriority w:val="99"/>
    <w:semiHidden/>
    <w:rsid w:val="00FD6113"/>
    <w:rPr>
      <w:b/>
      <w:bCs/>
    </w:rPr>
  </w:style>
  <w:style w:type="character" w:customStyle="1" w:styleId="CommentSubjectChar1">
    <w:name w:val="Comment Subject Char1"/>
    <w:basedOn w:val="CommentTextChar"/>
    <w:link w:val="CommentSubject"/>
    <w:uiPriority w:val="99"/>
    <w:semiHidden/>
    <w:rsid w:val="0095440F"/>
    <w:rPr>
      <w:rFonts w:ascii="Arial" w:hAnsi="Arial" w:cs="Arial"/>
      <w:b/>
      <w:bCs/>
      <w:sz w:val="20"/>
      <w:szCs w:val="20"/>
    </w:rPr>
  </w:style>
  <w:style w:type="paragraph" w:styleId="ListParagraph">
    <w:name w:val="List Paragraph"/>
    <w:basedOn w:val="Normal"/>
    <w:uiPriority w:val="99"/>
    <w:qFormat/>
    <w:rsid w:val="00FD6113"/>
    <w:pPr>
      <w:widowControl/>
      <w:autoSpaceDE/>
      <w:autoSpaceDN/>
      <w:adjustRightInd/>
      <w:spacing w:after="200" w:line="276" w:lineRule="auto"/>
      <w:ind w:left="720"/>
      <w:contextualSpacing/>
    </w:pPr>
    <w:rPr>
      <w:rFonts w:ascii="Calibri" w:hAnsi="Calibri" w:cs="Times New Roman"/>
      <w:sz w:val="22"/>
      <w:szCs w:val="22"/>
    </w:rPr>
  </w:style>
  <w:style w:type="paragraph" w:customStyle="1" w:styleId="CharChar1">
    <w:name w:val="Char Char1"/>
    <w:basedOn w:val="Normal"/>
    <w:uiPriority w:val="99"/>
    <w:rsid w:val="00FD6113"/>
    <w:pPr>
      <w:widowControl/>
      <w:spacing w:after="160" w:line="240" w:lineRule="exact"/>
    </w:pPr>
    <w:rPr>
      <w:rFonts w:ascii="Verdana" w:hAnsi="Verdana" w:cs="Times New Roman"/>
      <w:lang w:val="en-US" w:eastAsia="en-US"/>
    </w:rPr>
  </w:style>
  <w:style w:type="paragraph" w:styleId="HTMLPreformatted">
    <w:name w:val="HTML Preformatted"/>
    <w:basedOn w:val="Normal"/>
    <w:link w:val="HTMLPreformattedChar"/>
    <w:uiPriority w:val="99"/>
    <w:rsid w:val="00FD61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FD6113"/>
    <w:rPr>
      <w:rFonts w:ascii="Courier New" w:hAnsi="Courier New" w:cs="Courier New"/>
    </w:rPr>
  </w:style>
  <w:style w:type="paragraph" w:customStyle="1" w:styleId="CharCharCharCharChar">
    <w:name w:val="Char Char Char Char Char"/>
    <w:basedOn w:val="Normal"/>
    <w:uiPriority w:val="99"/>
    <w:rsid w:val="00FD6113"/>
    <w:pPr>
      <w:widowControl/>
      <w:spacing w:after="160" w:line="240" w:lineRule="exact"/>
    </w:pPr>
    <w:rPr>
      <w:rFonts w:ascii="Verdana" w:hAnsi="Verdana" w:cs="Times New Roman"/>
      <w:lang w:val="en-US" w:eastAsia="en-US"/>
    </w:rPr>
  </w:style>
  <w:style w:type="paragraph" w:styleId="Footer">
    <w:name w:val="footer"/>
    <w:basedOn w:val="Normal"/>
    <w:link w:val="FooterChar"/>
    <w:uiPriority w:val="99"/>
    <w:rsid w:val="00FD6113"/>
    <w:pPr>
      <w:widowControl/>
      <w:tabs>
        <w:tab w:val="center" w:pos="4153"/>
        <w:tab w:val="right" w:pos="8306"/>
      </w:tabs>
      <w:autoSpaceDE/>
      <w:autoSpaceDN/>
      <w:adjustRightInd/>
    </w:pPr>
    <w:rPr>
      <w:rFonts w:ascii="Times New Roman" w:hAnsi="Times New Roman" w:cs="Times New Roman"/>
      <w:sz w:val="24"/>
      <w:szCs w:val="24"/>
    </w:rPr>
  </w:style>
  <w:style w:type="character" w:customStyle="1" w:styleId="FooterChar">
    <w:name w:val="Footer Char"/>
    <w:basedOn w:val="DefaultParagraphFont"/>
    <w:link w:val="Footer"/>
    <w:uiPriority w:val="99"/>
    <w:locked/>
    <w:rsid w:val="00FD6113"/>
    <w:rPr>
      <w:rFonts w:cs="Times New Roman"/>
      <w:sz w:val="24"/>
      <w:szCs w:val="24"/>
    </w:rPr>
  </w:style>
  <w:style w:type="paragraph" w:styleId="Header">
    <w:name w:val="header"/>
    <w:basedOn w:val="Normal"/>
    <w:link w:val="HeaderChar"/>
    <w:uiPriority w:val="99"/>
    <w:rsid w:val="00FD6113"/>
    <w:pPr>
      <w:widowControl/>
      <w:tabs>
        <w:tab w:val="center" w:pos="4153"/>
        <w:tab w:val="right" w:pos="8306"/>
      </w:tabs>
      <w:autoSpaceDE/>
      <w:autoSpaceDN/>
      <w:adjustRightInd/>
    </w:pPr>
    <w:rPr>
      <w:rFonts w:ascii="Times New Roman" w:hAnsi="Times New Roman" w:cs="Times New Roman"/>
      <w:sz w:val="24"/>
      <w:szCs w:val="24"/>
    </w:rPr>
  </w:style>
  <w:style w:type="character" w:customStyle="1" w:styleId="HeaderChar">
    <w:name w:val="Header Char"/>
    <w:basedOn w:val="DefaultParagraphFont"/>
    <w:link w:val="Header"/>
    <w:uiPriority w:val="99"/>
    <w:locked/>
    <w:rsid w:val="00FD6113"/>
    <w:rPr>
      <w:rFonts w:cs="Times New Roman"/>
      <w:sz w:val="24"/>
      <w:szCs w:val="24"/>
    </w:rPr>
  </w:style>
  <w:style w:type="character" w:styleId="Hyperlink">
    <w:name w:val="Hyperlink"/>
    <w:basedOn w:val="DefaultParagraphFont"/>
    <w:uiPriority w:val="99"/>
    <w:rsid w:val="00FD6113"/>
    <w:rPr>
      <w:rFonts w:cs="Times New Roman"/>
      <w:color w:val="0000FF"/>
      <w:u w:val="single"/>
    </w:rPr>
  </w:style>
  <w:style w:type="paragraph" w:customStyle="1" w:styleId="Default">
    <w:name w:val="Default"/>
    <w:uiPriority w:val="99"/>
    <w:rsid w:val="00FD6113"/>
    <w:pPr>
      <w:autoSpaceDE w:val="0"/>
      <w:autoSpaceDN w:val="0"/>
      <w:adjustRightInd w:val="0"/>
    </w:pPr>
    <w:rPr>
      <w:rFonts w:ascii="Calibri" w:hAnsi="Calibri" w:cs="Calibri"/>
      <w:color w:val="000000"/>
      <w:sz w:val="24"/>
      <w:szCs w:val="24"/>
    </w:rPr>
  </w:style>
  <w:style w:type="paragraph" w:styleId="BodyText3">
    <w:name w:val="Body Text 3"/>
    <w:basedOn w:val="Normal"/>
    <w:link w:val="BodyText3Char"/>
    <w:uiPriority w:val="99"/>
    <w:rsid w:val="00FD6113"/>
    <w:pPr>
      <w:widowControl/>
      <w:autoSpaceDE/>
      <w:autoSpaceDN/>
      <w:adjustRightInd/>
      <w:jc w:val="both"/>
    </w:pPr>
    <w:rPr>
      <w:rFonts w:ascii="Tahoma" w:hAnsi="Tahoma" w:cs="Tahoma"/>
      <w:sz w:val="24"/>
      <w:szCs w:val="24"/>
      <w:lang w:eastAsia="en-US"/>
    </w:rPr>
  </w:style>
  <w:style w:type="character" w:customStyle="1" w:styleId="BodyText3Char">
    <w:name w:val="Body Text 3 Char"/>
    <w:basedOn w:val="DefaultParagraphFont"/>
    <w:link w:val="BodyText3"/>
    <w:uiPriority w:val="99"/>
    <w:locked/>
    <w:rsid w:val="00FD6113"/>
    <w:rPr>
      <w:rFonts w:ascii="Tahoma" w:hAnsi="Tahoma" w:cs="Tahoma"/>
      <w:sz w:val="24"/>
      <w:szCs w:val="24"/>
      <w:lang w:eastAsia="en-US"/>
    </w:rPr>
  </w:style>
  <w:style w:type="paragraph" w:styleId="TOC1">
    <w:name w:val="toc 1"/>
    <w:basedOn w:val="Normal"/>
    <w:next w:val="Normal"/>
    <w:autoRedefine/>
    <w:uiPriority w:val="99"/>
    <w:rsid w:val="00FD6113"/>
    <w:pPr>
      <w:widowControl/>
      <w:tabs>
        <w:tab w:val="left" w:pos="480"/>
        <w:tab w:val="right" w:leader="dot" w:pos="8296"/>
      </w:tabs>
      <w:autoSpaceDE/>
      <w:autoSpaceDN/>
      <w:adjustRightInd/>
      <w:spacing w:line="360" w:lineRule="auto"/>
      <w:jc w:val="both"/>
    </w:pPr>
    <w:rPr>
      <w:rFonts w:ascii="Times New Roman" w:hAnsi="Times New Roman" w:cs="Times New Roman"/>
      <w:noProof/>
      <w:sz w:val="24"/>
      <w:szCs w:val="24"/>
      <w:lang w:val="en-GB" w:eastAsia="en-US"/>
    </w:rPr>
  </w:style>
  <w:style w:type="paragraph" w:styleId="BodyTextIndent2">
    <w:name w:val="Body Text Indent 2"/>
    <w:basedOn w:val="Normal"/>
    <w:link w:val="BodyTextIndent2Char"/>
    <w:uiPriority w:val="99"/>
    <w:rsid w:val="00FD6113"/>
    <w:pPr>
      <w:widowControl/>
      <w:autoSpaceDE/>
      <w:autoSpaceDN/>
      <w:adjustRightInd/>
      <w:spacing w:after="120" w:line="480" w:lineRule="auto"/>
      <w:ind w:left="283"/>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locked/>
    <w:rsid w:val="00FD6113"/>
    <w:rPr>
      <w:rFonts w:cs="Times New Roman"/>
      <w:sz w:val="24"/>
      <w:szCs w:val="24"/>
    </w:rPr>
  </w:style>
  <w:style w:type="paragraph" w:styleId="TOC2">
    <w:name w:val="toc 2"/>
    <w:basedOn w:val="Normal"/>
    <w:next w:val="Normal"/>
    <w:autoRedefine/>
    <w:uiPriority w:val="99"/>
    <w:rsid w:val="00FD6113"/>
    <w:pPr>
      <w:widowControl/>
      <w:autoSpaceDE/>
      <w:autoSpaceDN/>
      <w:adjustRightInd/>
      <w:ind w:left="240"/>
    </w:pPr>
    <w:rPr>
      <w:rFonts w:ascii="Times New Roman" w:hAnsi="Times New Roman" w:cs="Times New Roman"/>
      <w:sz w:val="24"/>
      <w:szCs w:val="24"/>
    </w:rPr>
  </w:style>
  <w:style w:type="paragraph" w:styleId="TOC3">
    <w:name w:val="toc 3"/>
    <w:basedOn w:val="Normal"/>
    <w:next w:val="Normal"/>
    <w:autoRedefine/>
    <w:uiPriority w:val="99"/>
    <w:rsid w:val="00FD6113"/>
    <w:pPr>
      <w:widowControl/>
      <w:autoSpaceDE/>
      <w:autoSpaceDN/>
      <w:adjustRightInd/>
      <w:ind w:left="480"/>
    </w:pPr>
    <w:rPr>
      <w:rFonts w:ascii="Times New Roman" w:hAnsi="Times New Roman" w:cs="Times New Roman"/>
      <w:sz w:val="24"/>
      <w:szCs w:val="24"/>
    </w:rPr>
  </w:style>
  <w:style w:type="paragraph" w:styleId="BodyTextIndent">
    <w:name w:val="Body Text Indent"/>
    <w:basedOn w:val="Normal"/>
    <w:link w:val="BodyTextIndentChar"/>
    <w:uiPriority w:val="99"/>
    <w:rsid w:val="00FD6113"/>
    <w:pPr>
      <w:widowControl/>
      <w:autoSpaceDE/>
      <w:autoSpaceDN/>
      <w:adjustRightInd/>
      <w:spacing w:after="120"/>
      <w:ind w:left="283"/>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FD6113"/>
    <w:rPr>
      <w:rFonts w:cs="Times New Roman"/>
      <w:sz w:val="24"/>
      <w:szCs w:val="24"/>
    </w:rPr>
  </w:style>
  <w:style w:type="paragraph" w:styleId="BodyTextIndent3">
    <w:name w:val="Body Text Indent 3"/>
    <w:basedOn w:val="Normal"/>
    <w:link w:val="BodyTextIndent3Char"/>
    <w:uiPriority w:val="99"/>
    <w:rsid w:val="00FD6113"/>
    <w:pPr>
      <w:widowControl/>
      <w:autoSpaceDE/>
      <w:autoSpaceDN/>
      <w:adjustRightInd/>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uiPriority w:val="99"/>
    <w:locked/>
    <w:rsid w:val="00FD6113"/>
    <w:rPr>
      <w:rFonts w:cs="Times New Roman"/>
      <w:sz w:val="16"/>
      <w:szCs w:val="16"/>
    </w:rPr>
  </w:style>
  <w:style w:type="character" w:styleId="PageNumber">
    <w:name w:val="page number"/>
    <w:basedOn w:val="DefaultParagraphFont"/>
    <w:uiPriority w:val="99"/>
    <w:rsid w:val="00FD6113"/>
    <w:rPr>
      <w:rFonts w:cs="Times New Roman"/>
    </w:rPr>
  </w:style>
  <w:style w:type="paragraph" w:customStyle="1" w:styleId="ColorfulList-Accent11">
    <w:name w:val="Colorful List - Accent 11"/>
    <w:basedOn w:val="Normal"/>
    <w:uiPriority w:val="99"/>
    <w:rsid w:val="00FD611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styleId="TOCHeading">
    <w:name w:val="TOC Heading"/>
    <w:basedOn w:val="Heading1"/>
    <w:next w:val="Normal"/>
    <w:uiPriority w:val="99"/>
    <w:qFormat/>
    <w:rsid w:val="00FD6113"/>
    <w:pPr>
      <w:keepLines/>
      <w:widowControl/>
      <w:autoSpaceDE/>
      <w:autoSpaceDN/>
      <w:adjustRightInd/>
      <w:spacing w:after="0" w:line="259" w:lineRule="auto"/>
      <w:outlineLvl w:val="9"/>
    </w:pPr>
    <w:rPr>
      <w:b w:val="0"/>
      <w:bCs w:val="0"/>
      <w:color w:val="365F91"/>
      <w:kern w:val="0"/>
    </w:rPr>
  </w:style>
  <w:style w:type="paragraph" w:styleId="TOC4">
    <w:name w:val="toc 4"/>
    <w:basedOn w:val="Normal"/>
    <w:next w:val="Normal"/>
    <w:autoRedefine/>
    <w:uiPriority w:val="99"/>
    <w:rsid w:val="00FD6113"/>
    <w:pPr>
      <w:widowControl/>
      <w:autoSpaceDE/>
      <w:autoSpaceDN/>
      <w:adjustRightInd/>
      <w:spacing w:after="100" w:line="259" w:lineRule="auto"/>
      <w:ind w:left="660"/>
    </w:pPr>
    <w:rPr>
      <w:rFonts w:ascii="Calibri" w:hAnsi="Calibri" w:cs="Times New Roman"/>
      <w:sz w:val="22"/>
      <w:szCs w:val="22"/>
    </w:rPr>
  </w:style>
  <w:style w:type="paragraph" w:styleId="TOC5">
    <w:name w:val="toc 5"/>
    <w:basedOn w:val="Normal"/>
    <w:next w:val="Normal"/>
    <w:autoRedefine/>
    <w:uiPriority w:val="99"/>
    <w:rsid w:val="00FD6113"/>
    <w:pPr>
      <w:widowControl/>
      <w:autoSpaceDE/>
      <w:autoSpaceDN/>
      <w:adjustRightInd/>
      <w:spacing w:after="100" w:line="259" w:lineRule="auto"/>
      <w:ind w:left="880"/>
    </w:pPr>
    <w:rPr>
      <w:rFonts w:ascii="Calibri" w:hAnsi="Calibri" w:cs="Times New Roman"/>
      <w:sz w:val="22"/>
      <w:szCs w:val="22"/>
    </w:rPr>
  </w:style>
  <w:style w:type="paragraph" w:styleId="TOC6">
    <w:name w:val="toc 6"/>
    <w:basedOn w:val="Normal"/>
    <w:next w:val="Normal"/>
    <w:autoRedefine/>
    <w:uiPriority w:val="99"/>
    <w:rsid w:val="00FD6113"/>
    <w:pPr>
      <w:widowControl/>
      <w:autoSpaceDE/>
      <w:autoSpaceDN/>
      <w:adjustRightInd/>
      <w:spacing w:after="100" w:line="259" w:lineRule="auto"/>
      <w:ind w:left="1100"/>
    </w:pPr>
    <w:rPr>
      <w:rFonts w:ascii="Calibri" w:hAnsi="Calibri" w:cs="Times New Roman"/>
      <w:sz w:val="22"/>
      <w:szCs w:val="22"/>
    </w:rPr>
  </w:style>
  <w:style w:type="paragraph" w:styleId="TOC7">
    <w:name w:val="toc 7"/>
    <w:basedOn w:val="Normal"/>
    <w:next w:val="Normal"/>
    <w:autoRedefine/>
    <w:uiPriority w:val="99"/>
    <w:rsid w:val="00FD6113"/>
    <w:pPr>
      <w:widowControl/>
      <w:autoSpaceDE/>
      <w:autoSpaceDN/>
      <w:adjustRightInd/>
      <w:spacing w:after="100" w:line="259" w:lineRule="auto"/>
      <w:ind w:left="1320"/>
    </w:pPr>
    <w:rPr>
      <w:rFonts w:ascii="Calibri" w:hAnsi="Calibri" w:cs="Times New Roman"/>
      <w:sz w:val="22"/>
      <w:szCs w:val="22"/>
    </w:rPr>
  </w:style>
  <w:style w:type="paragraph" w:styleId="TOC8">
    <w:name w:val="toc 8"/>
    <w:basedOn w:val="Normal"/>
    <w:next w:val="Normal"/>
    <w:autoRedefine/>
    <w:uiPriority w:val="99"/>
    <w:rsid w:val="00FD6113"/>
    <w:pPr>
      <w:widowControl/>
      <w:autoSpaceDE/>
      <w:autoSpaceDN/>
      <w:adjustRightInd/>
      <w:spacing w:after="100" w:line="259" w:lineRule="auto"/>
      <w:ind w:left="1540"/>
    </w:pPr>
    <w:rPr>
      <w:rFonts w:ascii="Calibri" w:hAnsi="Calibri" w:cs="Times New Roman"/>
      <w:sz w:val="22"/>
      <w:szCs w:val="22"/>
    </w:rPr>
  </w:style>
  <w:style w:type="paragraph" w:styleId="TOC9">
    <w:name w:val="toc 9"/>
    <w:basedOn w:val="Normal"/>
    <w:next w:val="Normal"/>
    <w:autoRedefine/>
    <w:uiPriority w:val="99"/>
    <w:rsid w:val="00FD6113"/>
    <w:pPr>
      <w:widowControl/>
      <w:autoSpaceDE/>
      <w:autoSpaceDN/>
      <w:adjustRightInd/>
      <w:spacing w:after="100" w:line="259" w:lineRule="auto"/>
      <w:ind w:left="1760"/>
    </w:pPr>
    <w:rPr>
      <w:rFonts w:ascii="Calibri" w:hAnsi="Calibri" w:cs="Times New Roman"/>
      <w:sz w:val="22"/>
      <w:szCs w:val="22"/>
    </w:rPr>
  </w:style>
  <w:style w:type="paragraph" w:customStyle="1" w:styleId="110">
    <w:name w:val="Παράγραφος λίστας11"/>
    <w:basedOn w:val="Normal"/>
    <w:uiPriority w:val="99"/>
    <w:rsid w:val="007510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l.wikipedia.org/wiki/%CE%95%CE%BB%CE%BB%CE%AC%CE%B4%CE%B1%20\%20&#917;&#955;&#955;&#940;&#948;&#945;" TargetMode="External"/><Relationship Id="rId2" Type="http://schemas.openxmlformats.org/officeDocument/2006/relationships/hyperlink" Target="http://el.wikipedia.org/wiki/1830%20\%201830" TargetMode="External"/><Relationship Id="rId1" Type="http://schemas.openxmlformats.org/officeDocument/2006/relationships/hyperlink" Target="http://el.wikipedia.org/wiki/3_%CE%A6%CE%B5%CE%B2%CF%81%CE%BF%CF%85%CE%B1%CF%81%CE%AF%CE%BF%CF%85%20\%203%20&#934;&#949;&#946;&#961;&#959;&#965;&#945;&#961;&#943;&#959;&#965;" TargetMode="External"/><Relationship Id="rId5" Type="http://schemas.openxmlformats.org/officeDocument/2006/relationships/hyperlink" Target="http://el.wikipedia.org/wiki/%CE%A3%CF%80%CE%B5%CF%81%CF%87%CE%B5%CE%B9%CF%8C%CF%82%20\%20&#931;&#960;&#949;&#961;&#967;&#949;&#953;&#972;&#962;" TargetMode="External"/><Relationship Id="rId4" Type="http://schemas.openxmlformats.org/officeDocument/2006/relationships/hyperlink" Target="http://el.wikipedia.org/wiki/%CE%91%CF%87%CE%B5%CE%BB%CF%8E%CE%BF%CF%82%20\%20&#913;&#967;&#949;&#955;&#974;&#959;&#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TotalTime>
  <Pages>48</Pages>
  <Words>14108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athanasia</dc:creator>
  <cp:keywords/>
  <dc:description/>
  <cp:lastModifiedBy>syntonistis</cp:lastModifiedBy>
  <cp:revision>5</cp:revision>
  <dcterms:created xsi:type="dcterms:W3CDTF">2019-04-03T19:49:00Z</dcterms:created>
  <dcterms:modified xsi:type="dcterms:W3CDTF">2019-04-12T08:19:00Z</dcterms:modified>
</cp:coreProperties>
</file>