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54B" w:rsidRPr="00350B75" w:rsidRDefault="00E0754B" w:rsidP="00680854">
      <w:pPr>
        <w:spacing w:line="288" w:lineRule="auto"/>
        <w:jc w:val="center"/>
        <w:rPr>
          <w:b/>
        </w:rPr>
      </w:pPr>
      <w:r>
        <w:rPr>
          <w:b/>
        </w:rPr>
        <w:t>«Ευρωπαϊκή</w:t>
      </w:r>
      <w:r w:rsidRPr="00C326E2">
        <w:rPr>
          <w:b/>
        </w:rPr>
        <w:t xml:space="preserve"> ο</w:t>
      </w:r>
      <w:r>
        <w:rPr>
          <w:b/>
        </w:rPr>
        <w:t>λοκλήρωση</w:t>
      </w:r>
      <w:r w:rsidRPr="00C326E2">
        <w:rPr>
          <w:b/>
        </w:rPr>
        <w:t xml:space="preserve"> </w:t>
      </w:r>
      <w:r>
        <w:rPr>
          <w:b/>
        </w:rPr>
        <w:t xml:space="preserve">και </w:t>
      </w:r>
      <w:r w:rsidRPr="00C326E2">
        <w:rPr>
          <w:b/>
        </w:rPr>
        <w:t>ελληνική</w:t>
      </w:r>
      <w:r w:rsidRPr="00273453">
        <w:rPr>
          <w:b/>
        </w:rPr>
        <w:t xml:space="preserve"> </w:t>
      </w:r>
      <w:r w:rsidRPr="00C326E2">
        <w:rPr>
          <w:b/>
        </w:rPr>
        <w:t>διοίκηση</w:t>
      </w:r>
      <w:r>
        <w:rPr>
          <w:b/>
        </w:rPr>
        <w:t xml:space="preserve">: </w:t>
      </w:r>
    </w:p>
    <w:p w:rsidR="00E0754B" w:rsidRDefault="00E0754B" w:rsidP="00680854">
      <w:pPr>
        <w:spacing w:line="288" w:lineRule="auto"/>
        <w:jc w:val="center"/>
        <w:rPr>
          <w:b/>
        </w:rPr>
      </w:pPr>
      <w:r>
        <w:rPr>
          <w:b/>
        </w:rPr>
        <w:t>επιδράσεις στους εγχώριους θεσμούς διακυβέρνησης»</w:t>
      </w:r>
    </w:p>
    <w:p w:rsidR="00E0754B" w:rsidRPr="00423A88" w:rsidRDefault="00E0754B" w:rsidP="00680854">
      <w:pPr>
        <w:spacing w:line="288" w:lineRule="auto"/>
        <w:jc w:val="center"/>
      </w:pPr>
    </w:p>
    <w:p w:rsidR="00E0754B" w:rsidRPr="001F0AF6" w:rsidRDefault="00E0754B" w:rsidP="00680854">
      <w:pPr>
        <w:spacing w:line="288" w:lineRule="auto"/>
        <w:jc w:val="center"/>
      </w:pPr>
      <w:r w:rsidRPr="00273453">
        <w:t>Γιώργος Οικονόμου</w:t>
      </w:r>
      <w:r>
        <w:rPr>
          <w:lang w:val="en-US"/>
        </w:rPr>
        <w:t>*</w:t>
      </w:r>
      <w:r w:rsidRPr="001F0AF6">
        <w:t xml:space="preserve"> </w:t>
      </w:r>
    </w:p>
    <w:p w:rsidR="00E0754B" w:rsidRDefault="00E0754B" w:rsidP="00273453">
      <w:pPr>
        <w:spacing w:line="288" w:lineRule="auto"/>
        <w:rPr>
          <w:b/>
          <w:lang w:val="en-US"/>
        </w:rPr>
      </w:pPr>
    </w:p>
    <w:p w:rsidR="00E0754B" w:rsidRPr="00350B75" w:rsidRDefault="00E0754B" w:rsidP="00273453">
      <w:pPr>
        <w:spacing w:line="288" w:lineRule="auto"/>
        <w:rPr>
          <w:b/>
          <w:lang w:val="en-US"/>
        </w:rPr>
      </w:pPr>
    </w:p>
    <w:p w:rsidR="00E0754B" w:rsidRDefault="00E0754B">
      <w:pPr>
        <w:pStyle w:val="TOC1"/>
        <w:rPr>
          <w:rFonts w:ascii="Calibri" w:hAnsi="Calibri"/>
          <w:noProof/>
          <w:sz w:val="22"/>
        </w:rPr>
      </w:pPr>
      <w:r>
        <w:rPr>
          <w:b/>
          <w:lang w:val="en-US"/>
        </w:rPr>
        <w:fldChar w:fldCharType="begin"/>
      </w:r>
      <w:r>
        <w:rPr>
          <w:b/>
          <w:lang w:val="en-US"/>
        </w:rPr>
        <w:instrText xml:space="preserve"> TOC \o "1-3" \h \z \u </w:instrText>
      </w:r>
      <w:r>
        <w:rPr>
          <w:b/>
          <w:lang w:val="en-US"/>
        </w:rPr>
        <w:fldChar w:fldCharType="separate"/>
      </w:r>
      <w:hyperlink w:anchor="_Toc497685934" w:history="1">
        <w:r w:rsidRPr="00DB0EDC">
          <w:rPr>
            <w:rStyle w:val="Hyperlink"/>
            <w:noProof/>
          </w:rPr>
          <w:t>1. Εισαγωγή</w:t>
        </w:r>
        <w:r>
          <w:rPr>
            <w:noProof/>
            <w:webHidden/>
          </w:rPr>
          <w:tab/>
        </w:r>
        <w:r>
          <w:rPr>
            <w:noProof/>
            <w:webHidden/>
          </w:rPr>
          <w:fldChar w:fldCharType="begin"/>
        </w:r>
        <w:r>
          <w:rPr>
            <w:noProof/>
            <w:webHidden/>
          </w:rPr>
          <w:instrText xml:space="preserve"> PAGEREF _Toc497685934 \h </w:instrText>
        </w:r>
        <w:r>
          <w:rPr>
            <w:noProof/>
            <w:webHidden/>
          </w:rPr>
        </w:r>
        <w:r>
          <w:rPr>
            <w:noProof/>
            <w:webHidden/>
          </w:rPr>
          <w:fldChar w:fldCharType="separate"/>
        </w:r>
        <w:r>
          <w:rPr>
            <w:noProof/>
            <w:webHidden/>
          </w:rPr>
          <w:t>1</w:t>
        </w:r>
        <w:r>
          <w:rPr>
            <w:noProof/>
            <w:webHidden/>
          </w:rPr>
          <w:fldChar w:fldCharType="end"/>
        </w:r>
      </w:hyperlink>
    </w:p>
    <w:p w:rsidR="00E0754B" w:rsidRDefault="00E0754B">
      <w:pPr>
        <w:pStyle w:val="TOC1"/>
        <w:rPr>
          <w:rFonts w:ascii="Calibri" w:hAnsi="Calibri"/>
          <w:noProof/>
          <w:sz w:val="22"/>
        </w:rPr>
      </w:pPr>
      <w:hyperlink w:anchor="_Toc497685935" w:history="1">
        <w:r w:rsidRPr="00DB0EDC">
          <w:rPr>
            <w:rStyle w:val="Hyperlink"/>
            <w:noProof/>
          </w:rPr>
          <w:t>2. Αναζητώντας ένα ευρωπαϊκό διοικητικό μοντέλο</w:t>
        </w:r>
        <w:r>
          <w:rPr>
            <w:noProof/>
            <w:webHidden/>
          </w:rPr>
          <w:tab/>
        </w:r>
        <w:r>
          <w:rPr>
            <w:noProof/>
            <w:webHidden/>
          </w:rPr>
          <w:fldChar w:fldCharType="begin"/>
        </w:r>
        <w:r>
          <w:rPr>
            <w:noProof/>
            <w:webHidden/>
          </w:rPr>
          <w:instrText xml:space="preserve"> PAGEREF _Toc497685935 \h </w:instrText>
        </w:r>
        <w:r>
          <w:rPr>
            <w:noProof/>
            <w:webHidden/>
          </w:rPr>
        </w:r>
        <w:r>
          <w:rPr>
            <w:noProof/>
            <w:webHidden/>
          </w:rPr>
          <w:fldChar w:fldCharType="separate"/>
        </w:r>
        <w:r>
          <w:rPr>
            <w:noProof/>
            <w:webHidden/>
          </w:rPr>
          <w:t>2</w:t>
        </w:r>
        <w:r>
          <w:rPr>
            <w:noProof/>
            <w:webHidden/>
          </w:rPr>
          <w:fldChar w:fldCharType="end"/>
        </w:r>
      </w:hyperlink>
    </w:p>
    <w:p w:rsidR="00E0754B" w:rsidRDefault="00E0754B">
      <w:pPr>
        <w:pStyle w:val="TOC1"/>
        <w:rPr>
          <w:rFonts w:ascii="Calibri" w:hAnsi="Calibri"/>
          <w:noProof/>
          <w:sz w:val="22"/>
        </w:rPr>
      </w:pPr>
      <w:hyperlink w:anchor="_Toc497685936" w:history="1">
        <w:r w:rsidRPr="00DB0EDC">
          <w:rPr>
            <w:rStyle w:val="Hyperlink"/>
            <w:noProof/>
          </w:rPr>
          <w:t>3. Η (α)συμβατότητα της ελληνικής διοίκησης με τις λειτουργικές απαιτήσεις της Ε.Ε.</w:t>
        </w:r>
        <w:r>
          <w:rPr>
            <w:noProof/>
            <w:webHidden/>
          </w:rPr>
          <w:tab/>
        </w:r>
        <w:r>
          <w:rPr>
            <w:noProof/>
            <w:webHidden/>
          </w:rPr>
          <w:fldChar w:fldCharType="begin"/>
        </w:r>
        <w:r>
          <w:rPr>
            <w:noProof/>
            <w:webHidden/>
          </w:rPr>
          <w:instrText xml:space="preserve"> PAGEREF _Toc497685936 \h </w:instrText>
        </w:r>
        <w:r>
          <w:rPr>
            <w:noProof/>
            <w:webHidden/>
          </w:rPr>
        </w:r>
        <w:r>
          <w:rPr>
            <w:noProof/>
            <w:webHidden/>
          </w:rPr>
          <w:fldChar w:fldCharType="separate"/>
        </w:r>
        <w:r>
          <w:rPr>
            <w:noProof/>
            <w:webHidden/>
          </w:rPr>
          <w:t>4</w:t>
        </w:r>
        <w:r>
          <w:rPr>
            <w:noProof/>
            <w:webHidden/>
          </w:rPr>
          <w:fldChar w:fldCharType="end"/>
        </w:r>
      </w:hyperlink>
    </w:p>
    <w:p w:rsidR="00E0754B" w:rsidRDefault="00E0754B">
      <w:pPr>
        <w:pStyle w:val="TOC1"/>
        <w:rPr>
          <w:rFonts w:ascii="Calibri" w:hAnsi="Calibri"/>
          <w:noProof/>
          <w:sz w:val="22"/>
        </w:rPr>
      </w:pPr>
      <w:hyperlink w:anchor="_Toc497685937" w:history="1">
        <w:r w:rsidRPr="00DB0EDC">
          <w:rPr>
            <w:rStyle w:val="Hyperlink"/>
            <w:noProof/>
          </w:rPr>
          <w:t>4. Η Ε.Ε. ως καταλύτης αλλαγών: μηχανισμοί μεταφοράς πιέσεων</w:t>
        </w:r>
        <w:r>
          <w:rPr>
            <w:noProof/>
            <w:webHidden/>
          </w:rPr>
          <w:tab/>
        </w:r>
        <w:r>
          <w:rPr>
            <w:noProof/>
            <w:webHidden/>
          </w:rPr>
          <w:fldChar w:fldCharType="begin"/>
        </w:r>
        <w:r>
          <w:rPr>
            <w:noProof/>
            <w:webHidden/>
          </w:rPr>
          <w:instrText xml:space="preserve"> PAGEREF _Toc497685937 \h </w:instrText>
        </w:r>
        <w:r>
          <w:rPr>
            <w:noProof/>
            <w:webHidden/>
          </w:rPr>
        </w:r>
        <w:r>
          <w:rPr>
            <w:noProof/>
            <w:webHidden/>
          </w:rPr>
          <w:fldChar w:fldCharType="separate"/>
        </w:r>
        <w:r>
          <w:rPr>
            <w:noProof/>
            <w:webHidden/>
          </w:rPr>
          <w:t>7</w:t>
        </w:r>
        <w:r>
          <w:rPr>
            <w:noProof/>
            <w:webHidden/>
          </w:rPr>
          <w:fldChar w:fldCharType="end"/>
        </w:r>
      </w:hyperlink>
    </w:p>
    <w:p w:rsidR="00E0754B" w:rsidRDefault="00E0754B">
      <w:pPr>
        <w:pStyle w:val="TOC1"/>
        <w:rPr>
          <w:rFonts w:ascii="Calibri" w:hAnsi="Calibri"/>
          <w:noProof/>
          <w:sz w:val="22"/>
        </w:rPr>
      </w:pPr>
      <w:hyperlink w:anchor="_Toc497685938" w:history="1">
        <w:r w:rsidRPr="00DB0EDC">
          <w:rPr>
            <w:rStyle w:val="Hyperlink"/>
            <w:noProof/>
          </w:rPr>
          <w:t>4.1. Η περίοδος της «οικονομικής ευπάθειας» της Ελλάδας και η επίδραση της Ε.Ε.</w:t>
        </w:r>
        <w:r>
          <w:rPr>
            <w:noProof/>
            <w:webHidden/>
          </w:rPr>
          <w:tab/>
        </w:r>
        <w:r>
          <w:rPr>
            <w:noProof/>
            <w:webHidden/>
          </w:rPr>
          <w:fldChar w:fldCharType="begin"/>
        </w:r>
        <w:r>
          <w:rPr>
            <w:noProof/>
            <w:webHidden/>
          </w:rPr>
          <w:instrText xml:space="preserve"> PAGEREF _Toc497685938 \h </w:instrText>
        </w:r>
        <w:r>
          <w:rPr>
            <w:noProof/>
            <w:webHidden/>
          </w:rPr>
        </w:r>
        <w:r>
          <w:rPr>
            <w:noProof/>
            <w:webHidden/>
          </w:rPr>
          <w:fldChar w:fldCharType="separate"/>
        </w:r>
        <w:r>
          <w:rPr>
            <w:noProof/>
            <w:webHidden/>
          </w:rPr>
          <w:t>12</w:t>
        </w:r>
        <w:r>
          <w:rPr>
            <w:noProof/>
            <w:webHidden/>
          </w:rPr>
          <w:fldChar w:fldCharType="end"/>
        </w:r>
      </w:hyperlink>
    </w:p>
    <w:p w:rsidR="00E0754B" w:rsidRDefault="00E0754B">
      <w:pPr>
        <w:pStyle w:val="TOC1"/>
        <w:rPr>
          <w:rFonts w:ascii="Calibri" w:hAnsi="Calibri"/>
          <w:noProof/>
          <w:sz w:val="22"/>
        </w:rPr>
      </w:pPr>
      <w:hyperlink w:anchor="_Toc497685939" w:history="1">
        <w:r w:rsidRPr="00DB0EDC">
          <w:rPr>
            <w:rStyle w:val="Hyperlink"/>
            <w:noProof/>
          </w:rPr>
          <w:t>5. Η έκβαση των επιδράσεων: «αλλαγή παραδείγματος» ή αναπαραγωγή χαρακτηριστικών;</w:t>
        </w:r>
        <w:r>
          <w:rPr>
            <w:noProof/>
            <w:webHidden/>
          </w:rPr>
          <w:tab/>
        </w:r>
        <w:r>
          <w:rPr>
            <w:noProof/>
            <w:webHidden/>
          </w:rPr>
          <w:fldChar w:fldCharType="begin"/>
        </w:r>
        <w:r>
          <w:rPr>
            <w:noProof/>
            <w:webHidden/>
          </w:rPr>
          <w:instrText xml:space="preserve"> PAGEREF _Toc497685939 \h </w:instrText>
        </w:r>
        <w:r>
          <w:rPr>
            <w:noProof/>
            <w:webHidden/>
          </w:rPr>
        </w:r>
        <w:r>
          <w:rPr>
            <w:noProof/>
            <w:webHidden/>
          </w:rPr>
          <w:fldChar w:fldCharType="separate"/>
        </w:r>
        <w:r>
          <w:rPr>
            <w:noProof/>
            <w:webHidden/>
          </w:rPr>
          <w:t>14</w:t>
        </w:r>
        <w:r>
          <w:rPr>
            <w:noProof/>
            <w:webHidden/>
          </w:rPr>
          <w:fldChar w:fldCharType="end"/>
        </w:r>
      </w:hyperlink>
    </w:p>
    <w:p w:rsidR="00E0754B" w:rsidRDefault="00E0754B">
      <w:pPr>
        <w:pStyle w:val="TOC1"/>
        <w:rPr>
          <w:rFonts w:ascii="Calibri" w:hAnsi="Calibri"/>
          <w:noProof/>
          <w:sz w:val="22"/>
        </w:rPr>
      </w:pPr>
      <w:hyperlink w:anchor="_Toc497685940" w:history="1">
        <w:r w:rsidRPr="00DB0EDC">
          <w:rPr>
            <w:rStyle w:val="Hyperlink"/>
            <w:noProof/>
          </w:rPr>
          <w:t>6. Συμπεράσματα</w:t>
        </w:r>
        <w:r>
          <w:rPr>
            <w:noProof/>
            <w:webHidden/>
          </w:rPr>
          <w:tab/>
        </w:r>
        <w:r>
          <w:rPr>
            <w:noProof/>
            <w:webHidden/>
          </w:rPr>
          <w:fldChar w:fldCharType="begin"/>
        </w:r>
        <w:r>
          <w:rPr>
            <w:noProof/>
            <w:webHidden/>
          </w:rPr>
          <w:instrText xml:space="preserve"> PAGEREF _Toc497685940 \h </w:instrText>
        </w:r>
        <w:r>
          <w:rPr>
            <w:noProof/>
            <w:webHidden/>
          </w:rPr>
        </w:r>
        <w:r>
          <w:rPr>
            <w:noProof/>
            <w:webHidden/>
          </w:rPr>
          <w:fldChar w:fldCharType="separate"/>
        </w:r>
        <w:r>
          <w:rPr>
            <w:noProof/>
            <w:webHidden/>
          </w:rPr>
          <w:t>16</w:t>
        </w:r>
        <w:r>
          <w:rPr>
            <w:noProof/>
            <w:webHidden/>
          </w:rPr>
          <w:fldChar w:fldCharType="end"/>
        </w:r>
      </w:hyperlink>
    </w:p>
    <w:p w:rsidR="00E0754B" w:rsidRDefault="00E0754B">
      <w:pPr>
        <w:pStyle w:val="TOC1"/>
        <w:rPr>
          <w:rFonts w:ascii="Calibri" w:hAnsi="Calibri"/>
          <w:noProof/>
          <w:sz w:val="22"/>
        </w:rPr>
      </w:pPr>
      <w:hyperlink w:anchor="_Toc497685941" w:history="1">
        <w:r w:rsidRPr="00DB0EDC">
          <w:rPr>
            <w:rStyle w:val="Hyperlink"/>
            <w:noProof/>
          </w:rPr>
          <w:t>Βιβλιογραφικές αναφορές</w:t>
        </w:r>
        <w:r>
          <w:rPr>
            <w:noProof/>
            <w:webHidden/>
          </w:rPr>
          <w:tab/>
        </w:r>
        <w:r>
          <w:rPr>
            <w:noProof/>
            <w:webHidden/>
          </w:rPr>
          <w:fldChar w:fldCharType="begin"/>
        </w:r>
        <w:r>
          <w:rPr>
            <w:noProof/>
            <w:webHidden/>
          </w:rPr>
          <w:instrText xml:space="preserve"> PAGEREF _Toc497685941 \h </w:instrText>
        </w:r>
        <w:r>
          <w:rPr>
            <w:noProof/>
            <w:webHidden/>
          </w:rPr>
        </w:r>
        <w:r>
          <w:rPr>
            <w:noProof/>
            <w:webHidden/>
          </w:rPr>
          <w:fldChar w:fldCharType="separate"/>
        </w:r>
        <w:r>
          <w:rPr>
            <w:noProof/>
            <w:webHidden/>
          </w:rPr>
          <w:t>18</w:t>
        </w:r>
        <w:r>
          <w:rPr>
            <w:noProof/>
            <w:webHidden/>
          </w:rPr>
          <w:fldChar w:fldCharType="end"/>
        </w:r>
      </w:hyperlink>
    </w:p>
    <w:p w:rsidR="00E0754B" w:rsidRDefault="00E0754B" w:rsidP="00273453">
      <w:pPr>
        <w:spacing w:line="288" w:lineRule="auto"/>
        <w:rPr>
          <w:b/>
          <w:lang w:val="en-US"/>
        </w:rPr>
      </w:pPr>
      <w:r>
        <w:rPr>
          <w:b/>
          <w:lang w:val="en-US"/>
        </w:rPr>
        <w:fldChar w:fldCharType="end"/>
      </w:r>
    </w:p>
    <w:p w:rsidR="00E0754B" w:rsidRPr="00D343B8" w:rsidRDefault="00E0754B" w:rsidP="00731484">
      <w:pPr>
        <w:spacing w:line="288" w:lineRule="auto"/>
      </w:pPr>
    </w:p>
    <w:p w:rsidR="00E0754B" w:rsidRPr="00273453" w:rsidRDefault="00E0754B" w:rsidP="00273453">
      <w:pPr>
        <w:pStyle w:val="Heading1"/>
      </w:pPr>
      <w:bookmarkStart w:id="0" w:name="_Toc428454035"/>
      <w:bookmarkStart w:id="1" w:name="_Toc497685934"/>
      <w:r>
        <w:t xml:space="preserve">1. </w:t>
      </w:r>
      <w:r w:rsidRPr="00273453">
        <w:t>Εισαγωγή</w:t>
      </w:r>
      <w:bookmarkEnd w:id="0"/>
      <w:bookmarkEnd w:id="1"/>
    </w:p>
    <w:p w:rsidR="00E0754B" w:rsidRDefault="00E0754B" w:rsidP="00E47A7B">
      <w:pPr>
        <w:spacing w:line="288" w:lineRule="auto"/>
      </w:pPr>
      <w:r w:rsidRPr="00D343B8">
        <w:t xml:space="preserve">Η </w:t>
      </w:r>
      <w:r>
        <w:t>ένταξη</w:t>
      </w:r>
      <w:r w:rsidRPr="00D343B8">
        <w:t xml:space="preserve"> της Ελλάδας στην </w:t>
      </w:r>
      <w:r>
        <w:t>Ευρωπαϊκή Ένωση (Ε.Ε.)</w:t>
      </w:r>
      <w:r>
        <w:rPr>
          <w:rStyle w:val="FootnoteReference"/>
        </w:rPr>
        <w:footnoteReference w:id="1"/>
      </w:r>
      <w:r>
        <w:t xml:space="preserve"> </w:t>
      </w:r>
      <w:r w:rsidRPr="00D343B8">
        <w:t>το 1981 αποτελεί</w:t>
      </w:r>
      <w:r>
        <w:t xml:space="preserve"> πρόσφορο </w:t>
      </w:r>
      <w:r w:rsidRPr="00D343B8">
        <w:t xml:space="preserve">σημείο </w:t>
      </w:r>
      <w:r>
        <w:t>εκκίνησης</w:t>
      </w:r>
      <w:r w:rsidRPr="00D343B8">
        <w:t xml:space="preserve"> </w:t>
      </w:r>
      <w:r>
        <w:t>για τη μελέτη</w:t>
      </w:r>
      <w:r w:rsidRPr="00D343B8">
        <w:t xml:space="preserve"> εγχώριων θεσμών, δημόσιων πολιτικών και διαδικασιών πολιτικής.</w:t>
      </w:r>
      <w:r>
        <w:t xml:space="preserve"> Πρόκειται για ένα κομβικό σημείο αναφοράς που δύναται να συνεισφέρει στη μελέτη της αλληλεπίδρασης </w:t>
      </w:r>
      <w:r w:rsidRPr="00D343B8">
        <w:t xml:space="preserve">του ευρωπαϊκού </w:t>
      </w:r>
      <w:r>
        <w:t>παράγοντα μ</w:t>
      </w:r>
      <w:r w:rsidRPr="00D343B8">
        <w:t xml:space="preserve">ε </w:t>
      </w:r>
      <w:r>
        <w:t>το εγχώριο πεδίο, λαμβάνοντας υπ’ όψιν τον καταλυτικό ρόλο που ασκεί η Ε.Ε. σε πλήθος τομέων πολιτικής. Συναφώς, το πεδίο της δημόσιας πολιτικής για τη δημόσια διοίκηση δεν έμεινε ανεπηρέαστο από τη συμμετοχή της χώρας στο ευρωπαϊκό οικοδόμημα. Εν τούτοις, θα πρέπει εξαρχής να σημειωθεί ότι η Ε.Ε. δεν έχει (ούτε είχε κατά το παρελθόν) συγκροτήσει διακριτό πεδίο ευρωπαϊκής πολιτικής για τις δημόσιες διοικήσεις των κρατών-μελών</w:t>
      </w:r>
      <w:r w:rsidRPr="00E229EC">
        <w:rPr>
          <w:noProof/>
        </w:rPr>
        <w:t xml:space="preserve"> (</w:t>
      </w:r>
      <w:r w:rsidRPr="00E229EC">
        <w:rPr>
          <w:noProof/>
          <w:lang w:val="en-US"/>
        </w:rPr>
        <w:t>Knill</w:t>
      </w:r>
      <w:r w:rsidRPr="00E229EC">
        <w:rPr>
          <w:noProof/>
        </w:rPr>
        <w:t>, 2001, σ. 1)</w:t>
      </w:r>
      <w:r>
        <w:t xml:space="preserve">. Έτσι, δεν υφίσταται ευρωπαϊκό διοικητικό πρότυπο που να ορίζει προδιαγραφές προς τις οποίες τα κράτη-μέλη οφείλουν να συγκλίνουν. </w:t>
      </w:r>
    </w:p>
    <w:p w:rsidR="00E0754B" w:rsidRDefault="00E0754B" w:rsidP="00E47A7B">
      <w:pPr>
        <w:spacing w:line="288" w:lineRule="auto"/>
      </w:pPr>
    </w:p>
    <w:p w:rsidR="00E0754B" w:rsidRDefault="00E0754B" w:rsidP="00E47A7B">
      <w:pPr>
        <w:spacing w:line="288" w:lineRule="auto"/>
      </w:pPr>
      <w:r>
        <w:t xml:space="preserve">Σκοπός του παρόντος κεφαλαίου είναι η διερεύνηση της </w:t>
      </w:r>
      <w:r w:rsidRPr="00D343B8">
        <w:t>επίδραση</w:t>
      </w:r>
      <w:r>
        <w:t>ς</w:t>
      </w:r>
      <w:r w:rsidRPr="00D343B8">
        <w:t xml:space="preserve"> </w:t>
      </w:r>
      <w:r>
        <w:t>που άσκησε η</w:t>
      </w:r>
      <w:r w:rsidRPr="00D343B8">
        <w:t xml:space="preserve"> </w:t>
      </w:r>
      <w:r>
        <w:t>Ε.Ε. στην</w:t>
      </w:r>
      <w:r w:rsidRPr="00D343B8">
        <w:t xml:space="preserve"> ελληνική </w:t>
      </w:r>
      <w:r>
        <w:t xml:space="preserve">δημόσια </w:t>
      </w:r>
      <w:r w:rsidRPr="00D343B8">
        <w:t>διοίκηση</w:t>
      </w:r>
      <w:r>
        <w:t>. Ειδικότερα, επιχειρείται η κατάδειξη των μηχανισμών μεταφοράς των επιδράσεων, η ανάδειξη μεσολαβητικών παραγόντων προώθησης ή παρεμπόδισης των αλλαγών και η αποτύπωση της έκβασης του εξευρωπαϊστικού φαινομένου</w:t>
      </w:r>
      <w:r>
        <w:rPr>
          <w:rStyle w:val="FootnoteReference"/>
        </w:rPr>
        <w:footnoteReference w:id="2"/>
      </w:r>
      <w:r>
        <w:t xml:space="preserve"> στο ελληνικό διοικητικό πεδίο. </w:t>
      </w:r>
      <w:r w:rsidRPr="003E4B11">
        <w:t>Βασική αναφορά της εμπειρικής διερεύνησης αποτελεί η πορεία μετασχηματισμού της αρχιτεκτονικής διακυβέρνησης, με κεντρική μεταβλητή το πλαίσιο διαχείρισης των κοινοτικών πόρων</w:t>
      </w:r>
      <w:r>
        <w:t>.</w:t>
      </w:r>
      <w:r w:rsidRPr="003E4B11">
        <w:t xml:space="preserve"> </w:t>
      </w:r>
      <w:r>
        <w:t xml:space="preserve">Ο ισχυρισμός που υιοθετείται είναι ότι η Ε.Ε., παρ’ ότι δεν έχει συγκροτήσει αυτοτελές πεδίο δημόσιας πολιτικής για τις δημόσιες διοικήσεις των κρατών-μελών, </w:t>
      </w:r>
      <w:r w:rsidRPr="00D343B8">
        <w:t xml:space="preserve">έχει ασκήσει </w:t>
      </w:r>
      <w:r>
        <w:t xml:space="preserve">πολυεπίπεδη και ασύμμετρη </w:t>
      </w:r>
      <w:r w:rsidRPr="00D343B8">
        <w:t>επίδραση</w:t>
      </w:r>
      <w:r>
        <w:t xml:space="preserve"> στην ελληνική δημόσια διοίκηση, κυρίως μέσω «ήπιων» («</w:t>
      </w:r>
      <w:r w:rsidRPr="00A72C20">
        <w:t>ελαστικών</w:t>
      </w:r>
      <w:r>
        <w:t>»</w:t>
      </w:r>
      <w:r w:rsidRPr="00A72C20">
        <w:t>)</w:t>
      </w:r>
      <w:r>
        <w:t xml:space="preserve"> μηχανισμών μεταφοράς πιέσεων, ενώ την περίοδο της οξείας δημοσιονομικής κρίσης (έναρξη: 2010) η επίδραση έλαβε χαρακτήρα «έξωθεν» επιβολής μέτρων («ανελαστικές» παρεμβάσεις) και (εξ)αναγκαστικών αλλαγών.</w:t>
      </w:r>
      <w:r w:rsidRPr="00D343B8">
        <w:t xml:space="preserve"> </w:t>
      </w:r>
    </w:p>
    <w:p w:rsidR="00E0754B" w:rsidRPr="00DF5BDA" w:rsidRDefault="00E0754B" w:rsidP="00E47A7B">
      <w:pPr>
        <w:spacing w:line="288" w:lineRule="auto"/>
      </w:pPr>
    </w:p>
    <w:p w:rsidR="00E0754B" w:rsidRDefault="00E0754B" w:rsidP="00731484">
      <w:pPr>
        <w:spacing w:line="288" w:lineRule="auto"/>
      </w:pPr>
      <w:r>
        <w:t xml:space="preserve">Μεθοδολογικά, η </w:t>
      </w:r>
      <w:r w:rsidRPr="00857D7F">
        <w:t>διάσταση</w:t>
      </w:r>
      <w:r>
        <w:t xml:space="preserve"> μελέτης που υιοθετείται είναι </w:t>
      </w:r>
      <w:r w:rsidRPr="00D343B8">
        <w:t xml:space="preserve">«από την κορυφή προς </w:t>
      </w:r>
      <w:r>
        <w:t>τα κάτω</w:t>
      </w:r>
      <w:r w:rsidRPr="00D343B8">
        <w:t>» (top-down)</w:t>
      </w:r>
      <w:r>
        <w:rPr>
          <w:rStyle w:val="FootnoteReference"/>
        </w:rPr>
        <w:footnoteReference w:id="3"/>
      </w:r>
      <w:r w:rsidRPr="00D343B8">
        <w:t xml:space="preserve">, σύμφωνα με την οποία η </w:t>
      </w:r>
      <w:r>
        <w:t>πηγή</w:t>
      </w:r>
      <w:r w:rsidRPr="00D343B8">
        <w:t xml:space="preserve"> </w:t>
      </w:r>
      <w:r>
        <w:t xml:space="preserve">των </w:t>
      </w:r>
      <w:r w:rsidRPr="00D343B8">
        <w:t xml:space="preserve">επιδράσεων </w:t>
      </w:r>
      <w:r>
        <w:t>προέρχεται από τον ευρωπαϊκό παράγοντα</w:t>
      </w:r>
      <w:r w:rsidRPr="00D343B8">
        <w:t xml:space="preserve"> </w:t>
      </w:r>
      <w:r>
        <w:t>(Ε.Ε.) και</w:t>
      </w:r>
      <w:r w:rsidRPr="00D343B8">
        <w:t xml:space="preserve"> το εγχώριο </w:t>
      </w:r>
      <w:r>
        <w:t>επίπεδο (</w:t>
      </w:r>
      <w:r>
        <w:rPr>
          <w:lang w:val="en-US"/>
        </w:rPr>
        <w:t>domestic</w:t>
      </w:r>
      <w:r>
        <w:t xml:space="preserve"> </w:t>
      </w:r>
      <w:r>
        <w:rPr>
          <w:lang w:val="en-US"/>
        </w:rPr>
        <w:t>level</w:t>
      </w:r>
      <w:r>
        <w:t xml:space="preserve">) </w:t>
      </w:r>
      <w:r w:rsidRPr="00D343B8">
        <w:t>αποτελεί το</w:t>
      </w:r>
      <w:r>
        <w:t>ν</w:t>
      </w:r>
      <w:r w:rsidRPr="00D343B8">
        <w:t xml:space="preserve"> «</w:t>
      </w:r>
      <w:r>
        <w:t>απο</w:t>
      </w:r>
      <w:r w:rsidRPr="00D343B8">
        <w:t>δέκτη</w:t>
      </w:r>
      <w:r>
        <w:t>»</w:t>
      </w:r>
      <w:r w:rsidRPr="00D343B8">
        <w:t xml:space="preserve"> αυτών. </w:t>
      </w:r>
      <w:r>
        <w:t xml:space="preserve">Υπό αυτή την οπτική, υιοθετείται η προσέγγιση των </w:t>
      </w:r>
      <w:r w:rsidRPr="004F2AA6">
        <w:rPr>
          <w:lang w:val="en-US"/>
        </w:rPr>
        <w:t>Radaelli</w:t>
      </w:r>
      <w:r w:rsidRPr="004F2AA6">
        <w:t xml:space="preserve"> </w:t>
      </w:r>
      <w:r>
        <w:t>&amp;</w:t>
      </w:r>
      <w:r w:rsidRPr="004F2AA6">
        <w:t xml:space="preserve"> </w:t>
      </w:r>
      <w:r w:rsidRPr="004F2AA6">
        <w:rPr>
          <w:lang w:val="en-US"/>
        </w:rPr>
        <w:t>Exadaktylos</w:t>
      </w:r>
      <w:r w:rsidRPr="004F2AA6">
        <w:rPr>
          <w:noProof/>
        </w:rPr>
        <w:t xml:space="preserve"> (2012)</w:t>
      </w:r>
      <w:r w:rsidRPr="006902CF">
        <w:t xml:space="preserve"> </w:t>
      </w:r>
      <w:r>
        <w:t xml:space="preserve">σύμφωνα με την οποία το εξευρωπαϊστικό φαινόμενο αντιμετωπίζεται ως μια </w:t>
      </w:r>
      <w:r w:rsidRPr="00E47A7B">
        <w:rPr>
          <w:i/>
        </w:rPr>
        <w:t>διαδικασία</w:t>
      </w:r>
      <w:r>
        <w:t xml:space="preserve"> εγχώριας προσαρμογής με βάση ενωσιακές προτιμήσεις και προδιαγραφές, που τελικά καταλήγει σε ορισμένο </w:t>
      </w:r>
      <w:r w:rsidRPr="00E47A7B">
        <w:rPr>
          <w:i/>
        </w:rPr>
        <w:t>αποτέλεσμα</w:t>
      </w:r>
      <w:r>
        <w:t xml:space="preserve"> στο εσωτερικό των κρατών. </w:t>
      </w:r>
      <w:r w:rsidRPr="00D343B8">
        <w:t xml:space="preserve">Η </w:t>
      </w:r>
      <w:r>
        <w:t xml:space="preserve">χρονική </w:t>
      </w:r>
      <w:r w:rsidRPr="00D343B8">
        <w:t>π</w:t>
      </w:r>
      <w:r>
        <w:t xml:space="preserve">ερίοδος μελέτης εκκινεί από την επίσημη ένταξη της χώρας στην Ε.Ε. (1981) και εκτείνεται έως το 2017. Ο άξονας ανάλυσης συγκροτείται στη βάση της δομής του εγχώριου συστήματος διακυβέρνησης διακρινόμενο στο </w:t>
      </w:r>
      <w:r w:rsidRPr="00D343B8">
        <w:t>κεντρικό</w:t>
      </w:r>
      <w:r>
        <w:t xml:space="preserve">, αποσυγκεντρωμένο και </w:t>
      </w:r>
      <w:r w:rsidRPr="00D343B8">
        <w:t>αυτοδιοικητικό</w:t>
      </w:r>
      <w:r>
        <w:t xml:space="preserve"> επίπεδο διοίκησης απ’ όπου και αντλούνται εμπειρικές ενδείξεις. </w:t>
      </w:r>
    </w:p>
    <w:p w:rsidR="00E0754B" w:rsidRDefault="00E0754B" w:rsidP="00731484">
      <w:pPr>
        <w:spacing w:line="288" w:lineRule="auto"/>
      </w:pPr>
    </w:p>
    <w:p w:rsidR="00E0754B" w:rsidRDefault="00E0754B" w:rsidP="00731484">
      <w:pPr>
        <w:spacing w:line="288" w:lineRule="auto"/>
      </w:pPr>
      <w:r>
        <w:t>Οι ενότητες που ακολουθούν αναπτύσσονται ως εξής:</w:t>
      </w:r>
      <w:r w:rsidRPr="00D343B8">
        <w:t xml:space="preserve"> </w:t>
      </w:r>
      <w:r w:rsidRPr="00730F52">
        <w:t xml:space="preserve">στο δεύτερο μέρος αναζητείται η ύπαρξη </w:t>
      </w:r>
      <w:r>
        <w:t>(</w:t>
      </w:r>
      <w:r w:rsidRPr="00730F52">
        <w:t>ή μη</w:t>
      </w:r>
      <w:r>
        <w:t>)</w:t>
      </w:r>
      <w:r w:rsidRPr="00730F52">
        <w:t xml:space="preserve"> ενός συνεκτικού ευρωπαϊκού διοικητικού </w:t>
      </w:r>
      <w:r>
        <w:t>μοντέλου</w:t>
      </w:r>
      <w:r w:rsidRPr="00730F52">
        <w:t xml:space="preserve">. </w:t>
      </w:r>
      <w:r>
        <w:t>Ακολούθως</w:t>
      </w:r>
      <w:r w:rsidRPr="00730F52">
        <w:t xml:space="preserve">, </w:t>
      </w:r>
      <w:r>
        <w:t xml:space="preserve">περιγράφεται </w:t>
      </w:r>
      <w:r w:rsidRPr="00730F52">
        <w:t xml:space="preserve">το εγχώριο </w:t>
      </w:r>
      <w:r>
        <w:t xml:space="preserve">υπόδειγμα δημόσιας </w:t>
      </w:r>
      <w:r w:rsidRPr="00730F52">
        <w:t xml:space="preserve">διοίκησης και </w:t>
      </w:r>
      <w:r>
        <w:t xml:space="preserve">επιχειρείται ο προσδιορισμός του </w:t>
      </w:r>
      <w:r w:rsidRPr="00730F52">
        <w:t>β</w:t>
      </w:r>
      <w:r>
        <w:t>αθμού</w:t>
      </w:r>
      <w:r w:rsidRPr="00730F52">
        <w:t xml:space="preserve"> συμβατότητάς του με το ενωσιακό περιβάλλον. Στη συνέχεια αναπτύσσονται οι μηχανισμοί που </w:t>
      </w:r>
      <w:r>
        <w:t>ευνοούν (ή δυσχεραίνουν) τη μεταφορά των επιδράσεων από την</w:t>
      </w:r>
      <w:r w:rsidRPr="00730F52">
        <w:t xml:space="preserve"> Ε</w:t>
      </w:r>
      <w:r>
        <w:t>.</w:t>
      </w:r>
      <w:r w:rsidRPr="00730F52">
        <w:t>Ε</w:t>
      </w:r>
      <w:r>
        <w:t>.</w:t>
      </w:r>
      <w:r w:rsidRPr="00730F52">
        <w:t xml:space="preserve"> </w:t>
      </w:r>
      <w:r>
        <w:t xml:space="preserve">στο </w:t>
      </w:r>
      <w:r w:rsidRPr="00730F52">
        <w:t xml:space="preserve">εγχώριο διοικητικό </w:t>
      </w:r>
      <w:r>
        <w:t>πεδίο</w:t>
      </w:r>
      <w:r w:rsidRPr="00730F52">
        <w:t xml:space="preserve">. </w:t>
      </w:r>
      <w:r>
        <w:t>Η έκβαση των επιδράσεων συζητείται στην πέμπτη ενότητα, ενώ το κεφάλαιο ολοκληρώνεται με τα συμπεράσματα</w:t>
      </w:r>
      <w:r w:rsidRPr="00730F52">
        <w:t>.</w:t>
      </w:r>
    </w:p>
    <w:p w:rsidR="00E0754B" w:rsidRDefault="00E0754B" w:rsidP="00731484">
      <w:pPr>
        <w:spacing w:line="288" w:lineRule="auto"/>
      </w:pPr>
    </w:p>
    <w:p w:rsidR="00E0754B" w:rsidRPr="00D343B8" w:rsidRDefault="00E0754B" w:rsidP="00731484">
      <w:pPr>
        <w:spacing w:line="288" w:lineRule="auto"/>
      </w:pPr>
    </w:p>
    <w:p w:rsidR="00E0754B" w:rsidRPr="00273453" w:rsidRDefault="00E0754B" w:rsidP="00273453">
      <w:pPr>
        <w:pStyle w:val="Heading1"/>
      </w:pPr>
      <w:bookmarkStart w:id="2" w:name="_Toc428454036"/>
      <w:bookmarkStart w:id="3" w:name="_Toc497685935"/>
      <w:r>
        <w:t>2. Αναζητώντας ένα ευρωπαϊκό</w:t>
      </w:r>
      <w:r w:rsidRPr="00273453">
        <w:t xml:space="preserve"> </w:t>
      </w:r>
      <w:r>
        <w:t>διοικητικό μοντέλο</w:t>
      </w:r>
      <w:bookmarkEnd w:id="2"/>
      <w:bookmarkEnd w:id="3"/>
    </w:p>
    <w:p w:rsidR="00E0754B" w:rsidRDefault="00E0754B" w:rsidP="00731484">
      <w:pPr>
        <w:tabs>
          <w:tab w:val="clear" w:pos="397"/>
        </w:tabs>
        <w:autoSpaceDE w:val="0"/>
        <w:autoSpaceDN w:val="0"/>
        <w:adjustRightInd w:val="0"/>
        <w:spacing w:line="288" w:lineRule="auto"/>
      </w:pPr>
      <w:r>
        <w:t>Ένα βασικό ερώτημα που συνδέεται με την αναζήτηση των ευρωπαϊκών επιδράσεων στο εγχώριο πεδίο της δημόσιας διοίκησης, αποτελεί η ύπαρξη (ή η απουσία) ενός ενιαίου, ευρωπαϊκού διοικητικού προτύπου προς το οποίο η ελληνική διοίκηση θα όφειλε να συγκλίνει. Αρχικά, είναι σκόπιμο να επισημανθούν οι νομικές προβλέψεις: με βάση τις πρωτογενείς πηγές δικαίου της Ε.Ε. η ενωσιακή επίδραση περιορίζεται στη διοικητική συνεργασία μεταξύ των εθνικών διοικήσεων. Ειδικότερα, εστιάζει στη βελτίωση της διοικητικής ικανότητας για την εφαρμογή του δικαίου της Ένωσης, ιδίως σε ότι αφορά ανταλλαγές πληροφοριών, αποστολών δημόσιων υπαλλήλων καθώς και προγραμμάτων κατάρτισης</w:t>
      </w:r>
      <w:r>
        <w:rPr>
          <w:rStyle w:val="FootnoteReference"/>
        </w:rPr>
        <w:footnoteReference w:id="4"/>
      </w:r>
      <w:r>
        <w:t xml:space="preserve">. </w:t>
      </w:r>
    </w:p>
    <w:p w:rsidR="00E0754B" w:rsidRDefault="00E0754B" w:rsidP="00731484">
      <w:pPr>
        <w:tabs>
          <w:tab w:val="clear" w:pos="397"/>
        </w:tabs>
        <w:autoSpaceDE w:val="0"/>
        <w:autoSpaceDN w:val="0"/>
        <w:adjustRightInd w:val="0"/>
        <w:spacing w:line="288" w:lineRule="auto"/>
      </w:pPr>
    </w:p>
    <w:p w:rsidR="00E0754B" w:rsidRDefault="00E0754B" w:rsidP="00731484">
      <w:pPr>
        <w:tabs>
          <w:tab w:val="clear" w:pos="397"/>
        </w:tabs>
        <w:autoSpaceDE w:val="0"/>
        <w:autoSpaceDN w:val="0"/>
        <w:adjustRightInd w:val="0"/>
        <w:spacing w:line="288" w:lineRule="auto"/>
      </w:pPr>
      <w:r>
        <w:t>Ενδιαφέρον παρουσιάζει η προοδευτική εμφάνιση του όρου «Ευρωπαϊκός Διοικητικός Χώρος»</w:t>
      </w:r>
      <w:r w:rsidRPr="00B620DA">
        <w:t xml:space="preserve"> (</w:t>
      </w:r>
      <w:r>
        <w:t>ΕΔΧ) (</w:t>
      </w:r>
      <w:r w:rsidRPr="007552C0">
        <w:t>“</w:t>
      </w:r>
      <w:r>
        <w:rPr>
          <w:lang w:val="en-US"/>
        </w:rPr>
        <w:t>European</w:t>
      </w:r>
      <w:r w:rsidRPr="007552C0">
        <w:t xml:space="preserve"> </w:t>
      </w:r>
      <w:r>
        <w:rPr>
          <w:lang w:val="en-US"/>
        </w:rPr>
        <w:t>Administrative</w:t>
      </w:r>
      <w:r w:rsidRPr="007552C0">
        <w:t xml:space="preserve"> </w:t>
      </w:r>
      <w:r>
        <w:rPr>
          <w:lang w:val="en-US"/>
        </w:rPr>
        <w:t>Space</w:t>
      </w:r>
      <w:r w:rsidRPr="007552C0">
        <w:t>”</w:t>
      </w:r>
      <w:r>
        <w:sym w:font="Wingdings" w:char="F09E"/>
      </w:r>
      <w:r>
        <w:t xml:space="preserve"> </w:t>
      </w:r>
      <w:r w:rsidRPr="00730884">
        <w:rPr>
          <w:noProof/>
          <w:lang w:val="en-US"/>
        </w:rPr>
        <w:t>Olsen</w:t>
      </w:r>
      <w:r>
        <w:rPr>
          <w:noProof/>
        </w:rPr>
        <w:t>,</w:t>
      </w:r>
      <w:r>
        <w:t xml:space="preserve"> </w:t>
      </w:r>
      <w:r w:rsidRPr="001B60AC">
        <w:rPr>
          <w:noProof/>
        </w:rPr>
        <w:t>2003)</w:t>
      </w:r>
      <w:r>
        <w:t xml:space="preserve">. Ως έννοια, ο ΕΔΧ εισάχθηκε στις αρχές της δεκαετίας του 1990, ενώ προς τα τέλη της ίδιας δεκαετίας υπέστη μια πιο συστηματική επεξεργασία, στο πλαίσιο της τότε σχεδιαζόμενης διεύρυνσης της Ε.Ε. </w:t>
      </w:r>
      <w:r>
        <w:rPr>
          <w:noProof/>
        </w:rPr>
        <w:t>(Τσέκος, 2009, σ. 113)</w:t>
      </w:r>
      <w:r>
        <w:t xml:space="preserve">. Ο ΕΔΧ συγκροτήθηκε από «κοινές αρχές δημόσιας διοίκησης μεταξύ των χωρών μελών της ΕΕ» όπως «η αξιοπιστία και η προβλεψιμότητα, η προσβασιμότητα και η διαφάνεια, η λογοδοσία, η αποτελεσματικότητα και η αποδοτικότητα» </w:t>
      </w:r>
      <w:r w:rsidRPr="00DB1D0E">
        <w:rPr>
          <w:noProof/>
        </w:rPr>
        <w:t>(</w:t>
      </w:r>
      <w:r>
        <w:rPr>
          <w:noProof/>
          <w:lang w:val="en-US"/>
        </w:rPr>
        <w:t>OECD</w:t>
      </w:r>
      <w:r>
        <w:rPr>
          <w:noProof/>
        </w:rPr>
        <w:t>,</w:t>
      </w:r>
      <w:r w:rsidRPr="00DB1D0E">
        <w:rPr>
          <w:noProof/>
        </w:rPr>
        <w:t xml:space="preserve"> 1999, </w:t>
      </w:r>
      <w:r>
        <w:rPr>
          <w:noProof/>
        </w:rPr>
        <w:t>σ</w:t>
      </w:r>
      <w:r w:rsidRPr="00DB1D0E">
        <w:rPr>
          <w:noProof/>
        </w:rPr>
        <w:t>. 6)</w:t>
      </w:r>
      <w:r>
        <w:t>. Επίσης</w:t>
      </w:r>
      <w:r w:rsidRPr="00B620DA">
        <w:t xml:space="preserve">, </w:t>
      </w:r>
      <w:r>
        <w:t>περιείχε «ένα</w:t>
      </w:r>
      <w:r w:rsidRPr="00B620DA">
        <w:t xml:space="preserve"> </w:t>
      </w:r>
      <w:r>
        <w:t>σύνολο</w:t>
      </w:r>
      <w:r w:rsidRPr="00B620DA">
        <w:t xml:space="preserve"> </w:t>
      </w:r>
      <w:r>
        <w:t>κοινών</w:t>
      </w:r>
      <w:r w:rsidRPr="00B620DA">
        <w:t xml:space="preserve"> </w:t>
      </w:r>
      <w:r>
        <w:t>προδιαγραφών</w:t>
      </w:r>
      <w:r w:rsidRPr="00B620DA">
        <w:t xml:space="preserve"> </w:t>
      </w:r>
      <w:r>
        <w:t>δράσης εντός της δημόσιας διοίκησης οι οποίες προσδιορίζονται και ενισχύονται στην πράξη από διαδικασίες και μηχανισμούς λογοδοσίας» (</w:t>
      </w:r>
      <w:r>
        <w:rPr>
          <w:lang w:val="en-US"/>
        </w:rPr>
        <w:t>ibid</w:t>
      </w:r>
      <w:r w:rsidRPr="00730F52">
        <w:t xml:space="preserve">, </w:t>
      </w:r>
      <w:r>
        <w:t>σ. 6)</w:t>
      </w:r>
      <w:r w:rsidRPr="00B620DA">
        <w:t xml:space="preserve">. </w:t>
      </w:r>
    </w:p>
    <w:p w:rsidR="00E0754B" w:rsidRDefault="00E0754B" w:rsidP="00731484">
      <w:pPr>
        <w:tabs>
          <w:tab w:val="clear" w:pos="397"/>
        </w:tabs>
        <w:autoSpaceDE w:val="0"/>
        <w:autoSpaceDN w:val="0"/>
        <w:adjustRightInd w:val="0"/>
        <w:spacing w:line="288" w:lineRule="auto"/>
      </w:pPr>
    </w:p>
    <w:p w:rsidR="00E0754B" w:rsidRDefault="00E0754B" w:rsidP="00731484">
      <w:pPr>
        <w:tabs>
          <w:tab w:val="clear" w:pos="397"/>
        </w:tabs>
        <w:autoSpaceDE w:val="0"/>
        <w:autoSpaceDN w:val="0"/>
        <w:adjustRightInd w:val="0"/>
        <w:spacing w:line="288" w:lineRule="auto"/>
      </w:pPr>
      <w:r>
        <w:t>Εν τούτοις, το γεγονός ότι ο ΕΔΧ αποτέλεσε την πρώτη απόπειρα ορισμού ενός κοινού ευρωπαϊκού διοικητικού πλαισίου αναφοράς για τις δημόσιες διοικήσεις των χωρών μελών (και των υποψήφιων προς ένταξη), δεν σηματοδότησε παράλληλα τη</w:t>
      </w:r>
      <w:r w:rsidRPr="00730884">
        <w:t xml:space="preserve"> </w:t>
      </w:r>
      <w:r>
        <w:t xml:space="preserve">συγκρότηση ενός (διακριτού) </w:t>
      </w:r>
      <w:r w:rsidRPr="00B620DA">
        <w:rPr>
          <w:i/>
        </w:rPr>
        <w:t>διοικητικού κεκτημένου</w:t>
      </w:r>
      <w:r>
        <w:t xml:space="preserve"> </w:t>
      </w:r>
      <w:r w:rsidRPr="00942E22">
        <w:rPr>
          <w:noProof/>
        </w:rPr>
        <w:t>(OECD</w:t>
      </w:r>
      <w:r>
        <w:rPr>
          <w:noProof/>
        </w:rPr>
        <w:t>,</w:t>
      </w:r>
      <w:r w:rsidRPr="00942E22">
        <w:rPr>
          <w:noProof/>
        </w:rPr>
        <w:t xml:space="preserve"> 1999, p. 6)</w:t>
      </w:r>
      <w:r>
        <w:t xml:space="preserve"> προς το οποίο οι διοικήσεις των κρατών μελών θα όφειλαν να συγκλίνουν. Μάλιστα, είχε γίνει αποδεκτό το γεγονός ότι δεν υπήρχε βάση συμφωνίας για τη προώθηση ενός κοινού διοικητικού δικαίου μεταξύ των χωρών μελών της ΕΕ (</w:t>
      </w:r>
      <w:r>
        <w:rPr>
          <w:lang w:val="en-US"/>
        </w:rPr>
        <w:t>ibid</w:t>
      </w:r>
      <w:r w:rsidRPr="00730F52">
        <w:t xml:space="preserve">, </w:t>
      </w:r>
      <w:r>
        <w:t>σ. 15). Ομοίως, κοινές πρακτικές και εργαλεία υποστήριξης των εθνικών διοικήσεων, όπως το Κοινό Πλαίσιο Αξιολόγησης</w:t>
      </w:r>
      <w:r>
        <w:rPr>
          <w:rStyle w:val="FootnoteReference"/>
        </w:rPr>
        <w:footnoteReference w:id="5"/>
      </w:r>
      <w:r>
        <w:t xml:space="preserve"> (</w:t>
      </w:r>
      <w:r w:rsidRPr="00BD22A2">
        <w:t>“</w:t>
      </w:r>
      <w:r>
        <w:rPr>
          <w:lang w:val="en-US"/>
        </w:rPr>
        <w:t>Common</w:t>
      </w:r>
      <w:r w:rsidRPr="00BD22A2">
        <w:t xml:space="preserve"> </w:t>
      </w:r>
      <w:r>
        <w:rPr>
          <w:lang w:val="en-US"/>
        </w:rPr>
        <w:t>Assessment</w:t>
      </w:r>
      <w:r w:rsidRPr="00BD22A2">
        <w:t xml:space="preserve"> </w:t>
      </w:r>
      <w:r>
        <w:rPr>
          <w:lang w:val="en-US"/>
        </w:rPr>
        <w:t>Framework</w:t>
      </w:r>
      <w:r w:rsidRPr="00BD22A2">
        <w:t>”</w:t>
      </w:r>
      <w:r>
        <w:t>)</w:t>
      </w:r>
      <w:r w:rsidRPr="00BD22A2">
        <w:t xml:space="preserve"> </w:t>
      </w:r>
      <w:r>
        <w:t xml:space="preserve">που υποστηρίχθηκε από την Ευρωπαϊκή Επιτροπή </w:t>
      </w:r>
      <w:r>
        <w:rPr>
          <w:noProof/>
        </w:rPr>
        <w:t>(Τσέκος, 2009, σ. 138)</w:t>
      </w:r>
      <w:r>
        <w:t xml:space="preserve">, δεν προκύπτει ότι δημιούργησαν αποδεκτές νόρμες που, εν τέλει, ενσωματώθηκαν από τις επιμέρους εθνικές διοικήσεις </w:t>
      </w:r>
      <w:r w:rsidRPr="00EB53C4">
        <w:rPr>
          <w:noProof/>
        </w:rPr>
        <w:t>(</w:t>
      </w:r>
      <w:r>
        <w:rPr>
          <w:noProof/>
          <w:lang w:val="en-US"/>
        </w:rPr>
        <w:t>Dimitrova</w:t>
      </w:r>
      <w:r w:rsidRPr="00EB53C4">
        <w:rPr>
          <w:noProof/>
        </w:rPr>
        <w:t xml:space="preserve">, 2002, </w:t>
      </w:r>
      <w:r>
        <w:rPr>
          <w:noProof/>
        </w:rPr>
        <w:t>σ</w:t>
      </w:r>
      <w:r w:rsidRPr="00EB53C4">
        <w:rPr>
          <w:noProof/>
        </w:rPr>
        <w:t>. 182)</w:t>
      </w:r>
      <w:r>
        <w:t xml:space="preserve">. Συνολικά, έχει υποστηριχθεί ότι καμία από τις αρχές του ΕΔΧ δεν μπορεί να αναγνωριστεί ως κοινή νόρμα εντός της ΕΕ </w:t>
      </w:r>
      <w:r w:rsidRPr="00EB53C4">
        <w:rPr>
          <w:noProof/>
        </w:rPr>
        <w:t>(</w:t>
      </w:r>
      <w:r>
        <w:rPr>
          <w:noProof/>
          <w:lang w:val="en-US"/>
        </w:rPr>
        <w:t>Dimitrova</w:t>
      </w:r>
      <w:r w:rsidRPr="00EB53C4">
        <w:rPr>
          <w:noProof/>
        </w:rPr>
        <w:t xml:space="preserve">, 2002, </w:t>
      </w:r>
      <w:r>
        <w:rPr>
          <w:noProof/>
        </w:rPr>
        <w:t>σ</w:t>
      </w:r>
      <w:r w:rsidRPr="00EB53C4">
        <w:rPr>
          <w:noProof/>
        </w:rPr>
        <w:t>. 182)</w:t>
      </w:r>
      <w:r>
        <w:t xml:space="preserve"> και ότι, επομένως, ο ΕΔΧ «δεν έχει ακόμη συγκροτηθεί»</w:t>
      </w:r>
      <w:r w:rsidRPr="005B782D">
        <w:t xml:space="preserve"> </w:t>
      </w:r>
      <w:r>
        <w:rPr>
          <w:noProof/>
        </w:rPr>
        <w:t>(Τσέκος, 2009, σ. 117)</w:t>
      </w:r>
      <w:r>
        <w:t xml:space="preserve">. </w:t>
      </w:r>
    </w:p>
    <w:p w:rsidR="00E0754B" w:rsidRDefault="00E0754B" w:rsidP="00731484">
      <w:pPr>
        <w:tabs>
          <w:tab w:val="clear" w:pos="397"/>
        </w:tabs>
        <w:autoSpaceDE w:val="0"/>
        <w:autoSpaceDN w:val="0"/>
        <w:adjustRightInd w:val="0"/>
        <w:spacing w:line="288" w:lineRule="auto"/>
      </w:pPr>
    </w:p>
    <w:p w:rsidR="00E0754B" w:rsidRDefault="00E0754B" w:rsidP="00731484">
      <w:pPr>
        <w:tabs>
          <w:tab w:val="clear" w:pos="397"/>
        </w:tabs>
        <w:autoSpaceDE w:val="0"/>
        <w:autoSpaceDN w:val="0"/>
        <w:adjustRightInd w:val="0"/>
        <w:spacing w:line="288" w:lineRule="auto"/>
      </w:pPr>
      <w:r>
        <w:t xml:space="preserve">Πρακτικά, η μη ύπαρξη κοινών κατευθυντήριων γραμμών που θα οδηγούσαν τα εθνικά διοικητικά συστήματα να συγκλίνουν προς κάποιο </w:t>
      </w:r>
      <w:r w:rsidRPr="00B9500E">
        <w:rPr>
          <w:i/>
          <w:lang w:val="en-US"/>
        </w:rPr>
        <w:t>ex</w:t>
      </w:r>
      <w:r w:rsidRPr="00B9500E">
        <w:rPr>
          <w:i/>
        </w:rPr>
        <w:t xml:space="preserve"> </w:t>
      </w:r>
      <w:r w:rsidRPr="00B9500E">
        <w:rPr>
          <w:i/>
          <w:lang w:val="en-US"/>
        </w:rPr>
        <w:t>ante</w:t>
      </w:r>
      <w:r w:rsidRPr="00B9500E">
        <w:t xml:space="preserve"> </w:t>
      </w:r>
      <w:r>
        <w:t xml:space="preserve">προσδιορισμένο ενωσιακό διοικητικό πρότυπο επιβεβαίωσε το μεγάλο βαθμό διοικητικής «αυτοτέλειας» που απολάμβαναν τα κράτη-μέλη στη διαμόρφωση πολιτικής για τους διοικητικούς θεσμούς. Παράλληλα, ευνόησε τη συντήρηση των εθνικών συστημάτων διοίκησης με τις επιμέρους </w:t>
      </w:r>
      <w:r w:rsidRPr="00590D8B">
        <w:t>ιδιαιτερότητες και διαφοροποιήσεις (Painter &amp; Peters, 2010).</w:t>
      </w:r>
    </w:p>
    <w:p w:rsidR="00E0754B" w:rsidRDefault="00E0754B" w:rsidP="00731484">
      <w:pPr>
        <w:tabs>
          <w:tab w:val="clear" w:pos="397"/>
        </w:tabs>
        <w:autoSpaceDE w:val="0"/>
        <w:autoSpaceDN w:val="0"/>
        <w:adjustRightInd w:val="0"/>
        <w:spacing w:line="288" w:lineRule="auto"/>
      </w:pPr>
    </w:p>
    <w:p w:rsidR="00E0754B" w:rsidRDefault="00E0754B" w:rsidP="00731484">
      <w:pPr>
        <w:tabs>
          <w:tab w:val="clear" w:pos="397"/>
        </w:tabs>
        <w:autoSpaceDE w:val="0"/>
        <w:autoSpaceDN w:val="0"/>
        <w:adjustRightInd w:val="0"/>
        <w:spacing w:line="288" w:lineRule="auto"/>
      </w:pPr>
      <w:r>
        <w:t xml:space="preserve">Στο επίπεδο ακαδημαϊκής έρευνας, έχει υποστηριχθεί ότι οι διοικήσεις, ως ένα βαθμό, </w:t>
      </w:r>
      <w:r w:rsidRPr="009D18CF">
        <w:t>θεωρούνται εξευρωπαϊσμένες</w:t>
      </w:r>
      <w:r>
        <w:t xml:space="preserve"> παρ’ ότι</w:t>
      </w:r>
      <w:r w:rsidRPr="009D18CF">
        <w:t xml:space="preserve"> το </w:t>
      </w:r>
      <w:r>
        <w:t>περιεχόμενο του όρου</w:t>
      </w:r>
      <w:r w:rsidRPr="009D18CF">
        <w:t xml:space="preserve"> </w:t>
      </w:r>
      <w:r>
        <w:t xml:space="preserve">συχνά δεν εξειδικεύεται ούτε </w:t>
      </w:r>
      <w:r w:rsidRPr="009D18CF">
        <w:t>προσδιορίζονται</w:t>
      </w:r>
      <w:r w:rsidRPr="00B37CF6">
        <w:t xml:space="preserve"> </w:t>
      </w:r>
      <w:r w:rsidRPr="009D18CF">
        <w:t xml:space="preserve">οι μηχανισμοί </w:t>
      </w:r>
      <w:r>
        <w:t>επίδρασης (</w:t>
      </w:r>
      <w:r>
        <w:rPr>
          <w:lang w:val="en-US"/>
        </w:rPr>
        <w:t>Kassim</w:t>
      </w:r>
      <w:r>
        <w:t xml:space="preserve">, </w:t>
      </w:r>
      <w:r w:rsidRPr="00EB1AD1">
        <w:rPr>
          <w:noProof/>
        </w:rPr>
        <w:t>2003, σ. 153)</w:t>
      </w:r>
      <w:r w:rsidRPr="009D18CF">
        <w:t>.</w:t>
      </w:r>
      <w:r>
        <w:t xml:space="preserve"> Ο </w:t>
      </w:r>
      <w:r>
        <w:rPr>
          <w:lang w:val="en-US"/>
        </w:rPr>
        <w:t>Page</w:t>
      </w:r>
      <w:r w:rsidRPr="003F4882">
        <w:t xml:space="preserve"> </w:t>
      </w:r>
      <w:r w:rsidRPr="003F4882">
        <w:rPr>
          <w:noProof/>
        </w:rPr>
        <w:t>(2003, σ. 175)</w:t>
      </w:r>
      <w:r>
        <w:t xml:space="preserve"> αναφέρει ότι η διαδικασία εξέλιξης της ευρωπαϊκής ολοκλήρωσης έχει επηρεάσει τις διοικήσεις των κρατών-μελών της ΕΕ με όρους αναδιοργάνωσης και προσαρμογής τους. Παρ’ όλα αυτά, </w:t>
      </w:r>
      <w:r w:rsidRPr="006901B0">
        <w:t xml:space="preserve">η </w:t>
      </w:r>
      <w:r>
        <w:t xml:space="preserve">επίδραση δεν </w:t>
      </w:r>
      <w:r w:rsidRPr="006901B0">
        <w:t xml:space="preserve">έχει προκαλέσει </w:t>
      </w:r>
      <w:r>
        <w:t xml:space="preserve">ριζικό </w:t>
      </w:r>
      <w:r w:rsidRPr="006901B0">
        <w:t>μετα</w:t>
      </w:r>
      <w:r>
        <w:t>σχηματισμό, ειδικά προς την κατεύθυνση περιορισμού της διοικητικής ετερογένειας των κρατών-</w:t>
      </w:r>
      <w:r w:rsidRPr="006901B0">
        <w:t>μελών</w:t>
      </w:r>
      <w:r>
        <w:t>, άρα διοικητικής σύγκλισης</w:t>
      </w:r>
      <w:r w:rsidRPr="006901B0">
        <w:t>.</w:t>
      </w:r>
      <w:r w:rsidRPr="00ED2267">
        <w:t xml:space="preserve"> </w:t>
      </w:r>
    </w:p>
    <w:p w:rsidR="00E0754B" w:rsidRDefault="00E0754B" w:rsidP="00731484">
      <w:pPr>
        <w:tabs>
          <w:tab w:val="clear" w:pos="397"/>
        </w:tabs>
        <w:autoSpaceDE w:val="0"/>
        <w:autoSpaceDN w:val="0"/>
        <w:adjustRightInd w:val="0"/>
        <w:spacing w:line="288" w:lineRule="auto"/>
      </w:pPr>
    </w:p>
    <w:p w:rsidR="00E0754B" w:rsidRDefault="00E0754B" w:rsidP="00731484">
      <w:pPr>
        <w:spacing w:line="288" w:lineRule="auto"/>
      </w:pPr>
      <w:r>
        <w:t>Συνεπώς, στο βαθμό που δεν υφίσταται ένα κοινό ευρωπαϊκό διοικητικό μοντέλο αναφοράς προς το οποίο τα κράτη-μέλη της Ε.Ε. θα όφειλαν να συγκλίνουν, καθώς και το γεγονός ότι η Ε.Ε. δεν διαθέτει ουσιαστική αρμοδιότητα παρέμβασης στο διοικητικό πεδίο, επιμέρους ερωτήματα που προκύπτουν και αφορούν ειδικότερα την Ελλάδα διαμορφώνονται ως εξής: Έχει ασκήσει η Ε.Ε. μεταρρυθμιστικές πιέσεις προσαρμογής προς τη χώρα; Αν ναι, τότε με ποιούς μηχανισμούς μεταφέρθηκαν αυτές στο εγχώριο πεδίο; Υπάρχουν μεσολαβητικοί παράγοντες που δύνανται να ερμηνεύσουν τον βαθμό ενσωμάτωσης ή εξουδετέρωσης των πιέσεων; Τι χαρακτήρα είχαν οι πιέσεις</w:t>
      </w:r>
      <w:r>
        <w:rPr>
          <w:rStyle w:val="FootnoteReference"/>
        </w:rPr>
        <w:footnoteReference w:id="6"/>
      </w:r>
      <w:r>
        <w:t xml:space="preserve"> και ποια φαίνεται να είναι η έκβαση της συνολικής επίδρασης; Η ανάλυση που ακολουθεί αναζητεί απαντήσεις με επίκεντρο την ελληνική περίπτωση.</w:t>
      </w:r>
    </w:p>
    <w:p w:rsidR="00E0754B" w:rsidRDefault="00E0754B" w:rsidP="00731484">
      <w:pPr>
        <w:spacing w:line="288" w:lineRule="auto"/>
      </w:pPr>
    </w:p>
    <w:p w:rsidR="00E0754B" w:rsidRPr="008F0C58" w:rsidRDefault="00E0754B" w:rsidP="00731484">
      <w:pPr>
        <w:spacing w:line="288" w:lineRule="auto"/>
      </w:pPr>
    </w:p>
    <w:p w:rsidR="00E0754B" w:rsidRPr="00015456" w:rsidRDefault="00E0754B" w:rsidP="00273453">
      <w:pPr>
        <w:pStyle w:val="Heading1"/>
      </w:pPr>
      <w:bookmarkStart w:id="4" w:name="_Toc428454037"/>
      <w:bookmarkStart w:id="5" w:name="_Toc497685936"/>
      <w:r>
        <w:t>3. Η (α)συμβατότητα της ελληνικής διοίκησης</w:t>
      </w:r>
      <w:r w:rsidRPr="00273453">
        <w:t xml:space="preserve"> </w:t>
      </w:r>
      <w:bookmarkEnd w:id="4"/>
      <w:r>
        <w:t>με τις λειτουργικές απαιτήσεις της Ε.Ε.</w:t>
      </w:r>
      <w:bookmarkEnd w:id="5"/>
    </w:p>
    <w:p w:rsidR="00E0754B" w:rsidRDefault="00E0754B" w:rsidP="00731484">
      <w:pPr>
        <w:spacing w:line="288" w:lineRule="auto"/>
      </w:pPr>
      <w:r>
        <w:t xml:space="preserve">Ήδη από τις αρχές της μεταπολεμικής περιόδου (1947) είχαν καταγραφεί οι βασικές αδυναμίες της ελληνικής διοίκησης και η ανάγκη προώθησης μέτρων διοικητικής μεταρρύθμισης. Στην έκθεση </w:t>
      </w:r>
      <w:r w:rsidRPr="004235C9">
        <w:rPr>
          <w:lang w:val="en-US"/>
        </w:rPr>
        <w:t>Porter</w:t>
      </w:r>
      <w:r>
        <w:rPr>
          <w:rStyle w:val="FootnoteReference"/>
          <w:lang w:val="en-US"/>
        </w:rPr>
        <w:footnoteReference w:id="7"/>
      </w:r>
      <w:r w:rsidRPr="00C23E17">
        <w:t xml:space="preserve"> </w:t>
      </w:r>
      <w:r>
        <w:t xml:space="preserve"> τονιζόταν μεταξύ άλλων «ο περιορισμός του αριθμού των υπουργείων», «η </w:t>
      </w:r>
      <w:r w:rsidRPr="006A26DA">
        <w:t>ανακατά</w:t>
      </w:r>
      <w:r>
        <w:t>ταξη αρμοδιοτήτων και η ανάγκη εκπαίδευσης και ποιοτικής βελτίωσης</w:t>
      </w:r>
      <w:r w:rsidRPr="006A26DA">
        <w:t xml:space="preserve"> του προσωπικού</w:t>
      </w:r>
      <w:r>
        <w:t>»</w:t>
      </w:r>
      <w:r>
        <w:rPr>
          <w:rStyle w:val="FootnoteReference"/>
        </w:rPr>
        <w:footnoteReference w:id="8"/>
      </w:r>
      <w:r>
        <w:t>.</w:t>
      </w:r>
    </w:p>
    <w:p w:rsidR="00E0754B" w:rsidRDefault="00E0754B" w:rsidP="00731484">
      <w:pPr>
        <w:spacing w:line="288" w:lineRule="auto"/>
      </w:pPr>
    </w:p>
    <w:p w:rsidR="00E0754B" w:rsidRDefault="00E0754B" w:rsidP="00731484">
      <w:pPr>
        <w:spacing w:line="288" w:lineRule="auto"/>
      </w:pPr>
      <w:r>
        <w:t>Έκτοτε, η δημόσια πολιτική για τη δημόσια διοίκηση, τουλάχιστον σε επίπεδο τυπικών στόχων και κανονιστικών αρχών, περιστρεφόταν γύρω από την οικοδόμηση ενός διοικητικού συστήματος που στον πυρήνα του υπήρχαν οι παραδοχές του βεμπεριανού υποδείγματος</w:t>
      </w:r>
      <w:r w:rsidRPr="0073794A">
        <w:rPr>
          <w:noProof/>
        </w:rPr>
        <w:t xml:space="preserve"> (</w:t>
      </w:r>
      <w:r>
        <w:rPr>
          <w:noProof/>
          <w:lang w:val="en-US"/>
        </w:rPr>
        <w:t>Weber</w:t>
      </w:r>
      <w:r w:rsidRPr="0073794A">
        <w:rPr>
          <w:noProof/>
        </w:rPr>
        <w:t>, 1946)</w:t>
      </w:r>
      <w:r>
        <w:t>. Αυτό προκύπτει από το γεγονός ότι χαρακτηριστικά του εν λόγω μοντέλου αντικατοπτρίζονταν σε πολλές εγχώριες μεταρρυθμιστικές προσπάθειες, οι οποίες είχαν ως κοινό παρονομαστή αναφοράς τη βελτίωση της εγχώριας διοίκησης. Σε μελέτες που κατά καιρούς συντάχθηκαν</w:t>
      </w:r>
      <w:r>
        <w:rPr>
          <w:rStyle w:val="FootnoteReference"/>
        </w:rPr>
        <w:footnoteReference w:id="9"/>
      </w:r>
      <w:r>
        <w:t>, βασικό ζητούμενο ήταν η αναδιάρθρωση του διοικητικού μηχανισμού της χώρας. Ο διττός άξονας αναφοράς υπάκουγε αφ’ ενός στην εξάλειψη πρότερων διοικητικών αδυναμιών και, αφ’ ετέρου, στη δημιουργία μιας ικανής κρατικής μηχανής που θα μπορούσε να υποστηρίζει αποτελεσματικά την εξυπηρέτηση των δημόσιων πολιτικών. Αναδιάρθρωση διοικητικών δομών, εξορθολογισμός διαδικασιών και βελτίωση του ανθρώπινου δυναμικού ήταν οι κυρίαρχες μετασχηματιστικές τάσεις για αρκετές δεκαετίες.</w:t>
      </w:r>
    </w:p>
    <w:p w:rsidR="00E0754B" w:rsidRDefault="00E0754B" w:rsidP="00731484">
      <w:pPr>
        <w:spacing w:line="288" w:lineRule="auto"/>
      </w:pPr>
    </w:p>
    <w:p w:rsidR="00E0754B" w:rsidRDefault="00E0754B" w:rsidP="00731484">
      <w:pPr>
        <w:spacing w:line="288" w:lineRule="auto"/>
      </w:pPr>
      <w:r>
        <w:t xml:space="preserve">Παρά το πλήθος προτάσεων και πρωτοβουλιών, η δημιουργία ενός διοικητικού συστήματος που να παραπέμπει με πληρότητα στο κλασικό βεμπεριανό μοντέλο παραμένει ζητούμενο. Όπως έχει επισημανθεί, η ελληνική διοίκηση οικοδομήθηκε, εν μέρει, από </w:t>
      </w:r>
      <w:r w:rsidRPr="00C215BD">
        <w:t xml:space="preserve">πρακτικές </w:t>
      </w:r>
      <w:r>
        <w:t>«</w:t>
      </w:r>
      <w:r w:rsidRPr="00C215BD">
        <w:t>εργαλειοποίησης αδυναμιών</w:t>
      </w:r>
      <w:r>
        <w:t>»</w:t>
      </w:r>
      <w:r w:rsidRPr="00C215BD">
        <w:t xml:space="preserve"> </w:t>
      </w:r>
      <w:r>
        <w:t xml:space="preserve">της </w:t>
      </w:r>
      <w:r>
        <w:rPr>
          <w:noProof/>
        </w:rPr>
        <w:t>(Σπανού, 2010)</w:t>
      </w:r>
      <w:r w:rsidRPr="00C215BD">
        <w:t>.</w:t>
      </w:r>
      <w:r>
        <w:t xml:space="preserve"> Οργανωτικές και λειτουργικές υστερήσεις, άτυπες πρακτικές διευθετήσεων («πελατειακού» χαρακτήρα), ρυθμίσεις που δεν υποστήριζαν την αξιοκρατία στο πεδίο διοίκησης του ανθρώπινου δυναμικού</w:t>
      </w:r>
      <w:r w:rsidRPr="00823478">
        <w:t xml:space="preserve">, </w:t>
      </w:r>
      <w:r>
        <w:t>τυπολατρία και απόσταση μεταξύ τυπικών κανόνων και άτυπων πρακτικών</w:t>
      </w:r>
      <w:r w:rsidRPr="00823478">
        <w:t xml:space="preserve"> </w:t>
      </w:r>
      <w:r w:rsidRPr="00C215BD">
        <w:rPr>
          <w:noProof/>
        </w:rPr>
        <w:t>(</w:t>
      </w:r>
      <w:r>
        <w:rPr>
          <w:noProof/>
          <w:lang w:val="en-US"/>
        </w:rPr>
        <w:t>Spanou</w:t>
      </w:r>
      <w:r w:rsidRPr="00C215BD">
        <w:rPr>
          <w:noProof/>
        </w:rPr>
        <w:t>, 2008</w:t>
      </w:r>
      <w:r>
        <w:rPr>
          <w:noProof/>
        </w:rPr>
        <w:sym w:font="Wingdings" w:char="F09E"/>
      </w:r>
      <w:r>
        <w:t xml:space="preserve"> </w:t>
      </w:r>
      <w:r>
        <w:rPr>
          <w:noProof/>
          <w:lang w:val="en-US"/>
        </w:rPr>
        <w:t>Spanou</w:t>
      </w:r>
      <w:r w:rsidRPr="00C215BD">
        <w:rPr>
          <w:noProof/>
        </w:rPr>
        <w:t xml:space="preserve"> &amp; </w:t>
      </w:r>
      <w:r>
        <w:rPr>
          <w:noProof/>
          <w:lang w:val="en-US"/>
        </w:rPr>
        <w:t>Soriropoulos</w:t>
      </w:r>
      <w:r w:rsidRPr="00C215BD">
        <w:rPr>
          <w:noProof/>
        </w:rPr>
        <w:t>, 2011</w:t>
      </w:r>
      <w:r>
        <w:rPr>
          <w:noProof/>
        </w:rPr>
        <w:sym w:font="Wingdings" w:char="F09E"/>
      </w:r>
      <w:r>
        <w:t xml:space="preserve"> </w:t>
      </w:r>
      <w:r>
        <w:rPr>
          <w:noProof/>
        </w:rPr>
        <w:t>Συνήγορος του Πολίτη, 2006)</w:t>
      </w:r>
      <w:r>
        <w:t xml:space="preserve"> καθώς και έλλειμμα συντονισμού μεταξύ φορέων της κεντρικής διοίκησης </w:t>
      </w:r>
      <w:r w:rsidRPr="00734064">
        <w:rPr>
          <w:noProof/>
        </w:rPr>
        <w:t>(</w:t>
      </w:r>
      <w:r w:rsidRPr="00734064">
        <w:rPr>
          <w:noProof/>
          <w:lang w:val="en-US"/>
        </w:rPr>
        <w:t>OECD</w:t>
      </w:r>
      <w:r w:rsidRPr="00734064">
        <w:rPr>
          <w:noProof/>
        </w:rPr>
        <w:t>, 2011)</w:t>
      </w:r>
      <w:r>
        <w:t xml:space="preserve"> συνδέθηκαν με τη συγκρότηση μιας «οιονεί-βεμπεριανής» δημόσιας διοίκησης </w:t>
      </w:r>
      <w:r>
        <w:rPr>
          <w:noProof/>
        </w:rPr>
        <w:t>(Σπανού, 2001, σ. 62)</w:t>
      </w:r>
      <w:r>
        <w:t xml:space="preserve"> ή, όπως εναλλακτικά έχει τεθεί, μιας «μη-βεμπεριανής» γραφειοκρατίας</w:t>
      </w:r>
      <w:r>
        <w:rPr>
          <w:noProof/>
        </w:rPr>
        <w:t xml:space="preserve"> (Τσέκος, 2009, σ. 119)</w:t>
      </w:r>
      <w:r>
        <w:t xml:space="preserve">. Βασικό χαρακτηριστικό της ήταν όχι μόνον η τυπική απόκλιση από τις προδιαγραφές λειτουργίας αλλά, κυρίως, η ουσιαστική υστέρηση σε όρους παραγωγικής λειτουργίας και υποστήριξης δημόσιων πολιτικών στα επιμέρους στάδιά τους, κυρίως κατά τη διαμόρφωση και την εφαρμογή τους. Τα εν λόγω χαρακτηριστικά διέτρεχαν το σύνολο των θεσμοθετημένων επιπέδων διοίκησης (κεντρικό, αποσυγκεντρωμένο, αυτοδιοικητικό) και συνδέονταν με παθογένειες σε δομές, ανθρώπινο δυναμικό και διοικητικές διαδικασίες. </w:t>
      </w:r>
    </w:p>
    <w:p w:rsidR="00E0754B" w:rsidRDefault="00E0754B" w:rsidP="00731484">
      <w:pPr>
        <w:spacing w:line="288" w:lineRule="auto"/>
      </w:pPr>
    </w:p>
    <w:p w:rsidR="00E0754B" w:rsidRDefault="00E0754B" w:rsidP="00731484">
      <w:pPr>
        <w:spacing w:line="288" w:lineRule="auto"/>
      </w:pPr>
      <w:r>
        <w:t>Με λειτουργικούς όρους, οι ανωτέρω παθολογίες αντικατοπτρίζονται στον περιορισμένο βαθμό διοικητικής ικανότητας (</w:t>
      </w:r>
      <w:r>
        <w:rPr>
          <w:lang w:val="en-US"/>
        </w:rPr>
        <w:t>administrative</w:t>
      </w:r>
      <w:r w:rsidRPr="0010377E">
        <w:t xml:space="preserve"> </w:t>
      </w:r>
      <w:r>
        <w:rPr>
          <w:lang w:val="en-US"/>
        </w:rPr>
        <w:t>capacity</w:t>
      </w:r>
      <w:r>
        <w:t>)</w:t>
      </w:r>
      <w:r w:rsidRPr="004816A6">
        <w:rPr>
          <w:rStyle w:val="FootnoteReference"/>
        </w:rPr>
        <w:t xml:space="preserve"> </w:t>
      </w:r>
      <w:r>
        <w:rPr>
          <w:rStyle w:val="FootnoteReference"/>
        </w:rPr>
        <w:footnoteReference w:id="10"/>
      </w:r>
      <w:r>
        <w:t xml:space="preserve"> του κρατικού μηχανισμού. </w:t>
      </w:r>
      <w:r>
        <w:rPr>
          <w:lang w:val="en-US"/>
        </w:rPr>
        <w:t>T</w:t>
      </w:r>
      <w:r>
        <w:t xml:space="preserve">α εν λόγω στοιχεία προσέδωσαν χαμηλή ικανότητα ανταπόκρισης με τις (υψηλές) απαιτήσεις της Ε.Ε. για αποτελεσματικότητα στην εφαρμογή πολιτικών. Η αδυναμία ανταπόκρισης της ελληνικής διοίκησης </w:t>
      </w:r>
      <w:r w:rsidRPr="000F38AB">
        <w:t>εκδηλώνεται έντονα</w:t>
      </w:r>
      <w:r>
        <w:t>, ιδίως κατά το στάδιο υλοποίησης</w:t>
      </w:r>
      <w:r w:rsidRPr="000F38AB">
        <w:t xml:space="preserve"> </w:t>
      </w:r>
      <w:r>
        <w:t>ευρωπαϊκών πολιτικών. Χαρακτηριστικά παραδείγματα υστερήσεων εντοπίζονται στις δράσεις που αναπτύσσονται στο πλαίσιο της ευρωπαϊκής πολιτικής συνοχής</w:t>
      </w:r>
      <w:r>
        <w:rPr>
          <w:rStyle w:val="FootnoteReference"/>
        </w:rPr>
        <w:footnoteReference w:id="11"/>
      </w:r>
      <w:r>
        <w:t xml:space="preserve"> </w:t>
      </w:r>
      <w:r w:rsidRPr="000F38AB">
        <w:rPr>
          <w:noProof/>
        </w:rPr>
        <w:t>(</w:t>
      </w:r>
      <w:r w:rsidRPr="00652DE4">
        <w:rPr>
          <w:noProof/>
          <w:lang w:val="en-US"/>
        </w:rPr>
        <w:t>Andreou</w:t>
      </w:r>
      <w:r w:rsidRPr="00652DE4">
        <w:rPr>
          <w:noProof/>
        </w:rPr>
        <w:t>, 2006, 2010</w:t>
      </w:r>
      <w:r>
        <w:rPr>
          <w:noProof/>
        </w:rPr>
        <w:sym w:font="Wingdings" w:char="F09E"/>
      </w:r>
      <w:r>
        <w:rPr>
          <w:noProof/>
        </w:rPr>
        <w:t xml:space="preserve"> </w:t>
      </w:r>
      <w:r w:rsidRPr="000F38AB">
        <w:rPr>
          <w:noProof/>
          <w:lang w:val="en-US"/>
        </w:rPr>
        <w:t>European</w:t>
      </w:r>
      <w:r w:rsidRPr="000F38AB">
        <w:rPr>
          <w:noProof/>
        </w:rPr>
        <w:t xml:space="preserve"> </w:t>
      </w:r>
      <w:r w:rsidRPr="000F38AB">
        <w:rPr>
          <w:noProof/>
          <w:lang w:val="en-US"/>
        </w:rPr>
        <w:t>Commission</w:t>
      </w:r>
      <w:r w:rsidRPr="000F38AB">
        <w:rPr>
          <w:noProof/>
        </w:rPr>
        <w:t>, 2007</w:t>
      </w:r>
      <w:r>
        <w:rPr>
          <w:noProof/>
        </w:rPr>
        <w:sym w:font="Wingdings" w:char="F09E"/>
      </w:r>
      <w:r w:rsidRPr="009974A2">
        <w:t xml:space="preserve"> </w:t>
      </w:r>
      <w:r>
        <w:rPr>
          <w:noProof/>
          <w:lang w:val="en-US"/>
        </w:rPr>
        <w:t>Getimis</w:t>
      </w:r>
      <w:r w:rsidRPr="009974A2">
        <w:rPr>
          <w:noProof/>
        </w:rPr>
        <w:t xml:space="preserve">, </w:t>
      </w:r>
      <w:r>
        <w:rPr>
          <w:noProof/>
          <w:lang w:val="en-US"/>
        </w:rPr>
        <w:t>Paraskevopoulos</w:t>
      </w:r>
      <w:r w:rsidRPr="009974A2">
        <w:rPr>
          <w:noProof/>
        </w:rPr>
        <w:t xml:space="preserve">, &amp; </w:t>
      </w:r>
      <w:r>
        <w:rPr>
          <w:noProof/>
          <w:lang w:val="en-US"/>
        </w:rPr>
        <w:t>Rees</w:t>
      </w:r>
      <w:r w:rsidRPr="009974A2">
        <w:rPr>
          <w:noProof/>
        </w:rPr>
        <w:t>, 2006)</w:t>
      </w:r>
      <w:r>
        <w:rPr>
          <w:rStyle w:val="FootnoteReference"/>
        </w:rPr>
        <w:footnoteReference w:id="12"/>
      </w:r>
      <w:r>
        <w:t xml:space="preserve">. Διοικητικές ανεπάρκειες εντοπίζονται και περαιτέρω σε επιμέρους ρυθμιστικές πολιτικές της Ε.Ε. όπως η υλοποίηση της ευρωπαϊκής περιβαλλοντικής πολιτικής </w:t>
      </w:r>
      <w:r w:rsidRPr="00E2329C">
        <w:rPr>
          <w:noProof/>
        </w:rPr>
        <w:t>(Κουταλάκης, 2012</w:t>
      </w:r>
      <w:r>
        <w:rPr>
          <w:noProof/>
        </w:rPr>
        <w:sym w:font="Wingdings" w:char="F09E"/>
      </w:r>
      <w:r>
        <w:rPr>
          <w:noProof/>
        </w:rPr>
        <w:t xml:space="preserve"> Κουφάκη,</w:t>
      </w:r>
      <w:r w:rsidRPr="0050406A">
        <w:rPr>
          <w:noProof/>
        </w:rPr>
        <w:t xml:space="preserve"> 2007</w:t>
      </w:r>
      <w:r w:rsidRPr="00E2329C">
        <w:rPr>
          <w:noProof/>
        </w:rPr>
        <w:t>)</w:t>
      </w:r>
      <w:r>
        <w:t xml:space="preserve">. </w:t>
      </w:r>
    </w:p>
    <w:p w:rsidR="00E0754B" w:rsidRDefault="00E0754B" w:rsidP="00731484">
      <w:pPr>
        <w:spacing w:line="288" w:lineRule="auto"/>
      </w:pPr>
    </w:p>
    <w:p w:rsidR="00E0754B" w:rsidRDefault="00E0754B" w:rsidP="00731484">
      <w:pPr>
        <w:spacing w:line="288" w:lineRule="auto"/>
      </w:pPr>
      <w:r>
        <w:t xml:space="preserve">Ειδικότερα, τα συγχρηματοδοτούμενα προγράμματα αποτελούν πεδίο άμεσης αλληλεπίδρασης της Ε.Ε. με την ελληνική διοίκηση, παρέχοντας ισχυρές εμπειρικές ενδείξεις για τη χαμηλή διοικητική επάρκεια των θεσμών και κατ’ επέκταση τον περιορισμένο </w:t>
      </w:r>
      <w:r w:rsidRPr="006334E0">
        <w:t>βαθμό συμβατότητάς</w:t>
      </w:r>
      <w:r>
        <w:rPr>
          <w:i/>
        </w:rPr>
        <w:t xml:space="preserve"> </w:t>
      </w:r>
      <w:r>
        <w:t>τους</w:t>
      </w:r>
      <w:r w:rsidRPr="006334E0">
        <w:rPr>
          <w:rStyle w:val="FootnoteReference"/>
        </w:rPr>
        <w:footnoteReference w:id="13"/>
      </w:r>
      <w:r>
        <w:rPr>
          <w:i/>
        </w:rPr>
        <w:t xml:space="preserve"> </w:t>
      </w:r>
      <w:r w:rsidRPr="00116DB9">
        <w:t>(“</w:t>
      </w:r>
      <w:r>
        <w:rPr>
          <w:lang w:val="en-US"/>
        </w:rPr>
        <w:t>goodness</w:t>
      </w:r>
      <w:r w:rsidRPr="00116DB9">
        <w:t xml:space="preserve"> </w:t>
      </w:r>
      <w:r>
        <w:rPr>
          <w:lang w:val="en-US"/>
        </w:rPr>
        <w:t>of</w:t>
      </w:r>
      <w:r w:rsidRPr="00116DB9">
        <w:t xml:space="preserve"> </w:t>
      </w:r>
      <w:r>
        <w:rPr>
          <w:lang w:val="en-US"/>
        </w:rPr>
        <w:t>fit</w:t>
      </w:r>
      <w:r w:rsidRPr="00116DB9">
        <w:t>”</w:t>
      </w:r>
      <w:r>
        <w:rPr>
          <w:noProof/>
        </w:rPr>
        <w:sym w:font="Wingdings" w:char="F09E"/>
      </w:r>
      <w:r w:rsidRPr="00116DB9">
        <w:t xml:space="preserve"> </w:t>
      </w:r>
      <w:r w:rsidRPr="0050406A">
        <w:rPr>
          <w:noProof/>
          <w:lang w:val="en-US"/>
        </w:rPr>
        <w:t>Risse</w:t>
      </w:r>
      <w:r w:rsidRPr="0050406A">
        <w:rPr>
          <w:noProof/>
        </w:rPr>
        <w:t xml:space="preserve">, </w:t>
      </w:r>
      <w:r w:rsidRPr="0050406A">
        <w:rPr>
          <w:noProof/>
          <w:lang w:val="en-US"/>
        </w:rPr>
        <w:t>Cowles</w:t>
      </w:r>
      <w:r w:rsidRPr="0050406A">
        <w:rPr>
          <w:noProof/>
        </w:rPr>
        <w:t xml:space="preserve">, &amp; </w:t>
      </w:r>
      <w:r w:rsidRPr="0050406A">
        <w:rPr>
          <w:noProof/>
          <w:lang w:val="en-US"/>
        </w:rPr>
        <w:t>Caporaso</w:t>
      </w:r>
      <w:r w:rsidRPr="0050406A">
        <w:rPr>
          <w:noProof/>
        </w:rPr>
        <w:t>, 2001)</w:t>
      </w:r>
      <w:r w:rsidRPr="0050406A">
        <w:t xml:space="preserve"> με τις οργανωτικές και διαχειριστικές απαιτήσεις της Ε.Ε. Οι προδιαγραφές λειτουργίας του ενωσιακού περιβάλλοντος, ειδικότερα οι προϋποθέσεις</w:t>
      </w:r>
      <w:r>
        <w:t xml:space="preserve"> συμμετοχής και υλοποίησης προγραμμάτων και δράσεων που συγχρηματοδοτούνταν από τα διαρθρωτικά ταμεία της Ε.Ε. έθεταν συγκεκριμένο πλαίσιο λειτουργίας (διαδικασίες και κανόνες) που η ελληνική διοίκηση όφειλε να ικανοποιήσει</w:t>
      </w:r>
      <w:r>
        <w:rPr>
          <w:rStyle w:val="FootnoteReference"/>
        </w:rPr>
        <w:footnoteReference w:id="14"/>
      </w:r>
      <w:r>
        <w:t>.</w:t>
      </w:r>
      <w:r w:rsidRPr="00F409AF">
        <w:t xml:space="preserve"> </w:t>
      </w:r>
      <w:r>
        <w:t xml:space="preserve">Η υλοποίηση δράσεων των διαρθρωτικών ταμείων της Ε.Ε. ανέδειξε σημαντικές υστερήσεις τόσο στη διαχείριση όσο και στην απορρόφηση των πόρων. Η εφαρμογή προγραμμάτων προϋπέθετε υψηλές απαιτήσεις πιστοποίησης διαχειριστικής επάρκειας που αρκετές δημόσιες οργανώσεις δεν κατάφερναν να την εξασφαλίσουν. Συχνά, δεν έλειπαν και περιπτώσεις τελικών δικαιούχων έργων που όμως δεν κατείχαν τους απαραίτητους πόρους και τη διαχειριστική ικανότητα υλοποίησης </w:t>
      </w:r>
      <w:r w:rsidRPr="001936D3">
        <w:rPr>
          <w:noProof/>
        </w:rPr>
        <w:t>(</w:t>
      </w:r>
      <w:r>
        <w:rPr>
          <w:noProof/>
          <w:lang w:val="en-US"/>
        </w:rPr>
        <w:t>Andreou</w:t>
      </w:r>
      <w:r w:rsidRPr="001936D3">
        <w:rPr>
          <w:noProof/>
        </w:rPr>
        <w:t>, 2010)</w:t>
      </w:r>
      <w:r>
        <w:t>. Στο πεδίο της αυτοδιοίκησης, ο κατακερματισμός των διοικητικών δομών και οι εγγενείς επιχειρησιακές αδυναμίες πρακτικά στερούσαν από πολλούς φορείς τη δυνατότητα συμμετοχής σε προγράμματα στο πλαίσιο της ευρωπαϊκής πολιτικής συνοχής</w:t>
      </w:r>
      <w:r>
        <w:rPr>
          <w:rStyle w:val="FootnoteReference"/>
        </w:rPr>
        <w:footnoteReference w:id="15"/>
      </w:r>
      <w:r>
        <w:t xml:space="preserve">. </w:t>
      </w:r>
    </w:p>
    <w:p w:rsidR="00E0754B" w:rsidRDefault="00E0754B" w:rsidP="00731484">
      <w:pPr>
        <w:spacing w:line="288" w:lineRule="auto"/>
      </w:pPr>
    </w:p>
    <w:p w:rsidR="00E0754B" w:rsidRPr="00B83055" w:rsidRDefault="00E0754B" w:rsidP="00731484">
      <w:pPr>
        <w:spacing w:line="288" w:lineRule="auto"/>
      </w:pPr>
      <w:r>
        <w:t>Περαιτέρω, παράδειγμα «θεσμικής» ασυμβατότητας μεταξύ Ελλάδας–Ε.Ε. αποτελούσε το γεγονός ότι η εγχώρια αρχιτεκτονική διακυβέρνησης, κατά τα πρώτα έτη μετά την ένταξη της χώρας στην Ε.Ε., δεν περιελάμβανε περιφερειακές δομές διακυβέρνησης. Την ίδια στιγμή, η ευρωπαϊκή πολιτική συνοχής βασιζόταν στη συμμετοχή αντίστοιχων θεσμών. Το εν λόγω κενό, επιχειρήθηκε να καλυφθεί με τη θέσπιση των δεκατριών περιφερειών</w:t>
      </w:r>
      <w:r>
        <w:rPr>
          <w:rStyle w:val="FootnoteReference"/>
        </w:rPr>
        <w:footnoteReference w:id="16"/>
      </w:r>
      <w:r>
        <w:t>.</w:t>
      </w:r>
    </w:p>
    <w:p w:rsidR="00E0754B" w:rsidRDefault="00E0754B" w:rsidP="00731484">
      <w:pPr>
        <w:spacing w:line="288" w:lineRule="auto"/>
      </w:pPr>
    </w:p>
    <w:p w:rsidR="00E0754B" w:rsidRDefault="00E0754B" w:rsidP="00731484">
      <w:pPr>
        <w:spacing w:line="288" w:lineRule="auto"/>
      </w:pPr>
      <w:r>
        <w:t>Τα ανωτέρω χαρακτηριστικά παρέχουν ενδείξεις ασυμβατότητας (</w:t>
      </w:r>
      <w:r>
        <w:rPr>
          <w:lang w:val="en-US"/>
        </w:rPr>
        <w:t>misfit</w:t>
      </w:r>
      <w:r>
        <w:t>) μεταξύ, αφ’ ενός, της ελληνικής δημόσιας διοίκησης και, αφ’ ετέρου, των θεσμικών και διαχειριστικών απαιτήσεων που προϋπέθετε η συμμετοχή της χώρας στην Ε.Ε. Η ασυμβατότητα αποτέλεσε ισχυρό ερέθισμα για την εκκίνηση διοικητικών μεταρρυθμιστικών πρωτοβουλιών στο εγχώριο πεδίο. Η αιτιώδης συσχέτιση της Ε.Ε. με αλλαγές και μεταρρυθμίσεις που προωθήθηκαν στο εγχώριο διοικητικό πεδίο, καθώς και οι μηχανισμοί μεταφοράς των ενωσιακών επιδράσεων αποτελεί αντικείμενο διερεύνησης της επόμενης ενότητας.</w:t>
      </w:r>
    </w:p>
    <w:p w:rsidR="00E0754B" w:rsidRDefault="00E0754B" w:rsidP="00731484">
      <w:pPr>
        <w:spacing w:line="288" w:lineRule="auto"/>
      </w:pPr>
    </w:p>
    <w:p w:rsidR="00E0754B" w:rsidRDefault="00E0754B" w:rsidP="00731484">
      <w:pPr>
        <w:spacing w:line="288" w:lineRule="auto"/>
      </w:pPr>
    </w:p>
    <w:p w:rsidR="00E0754B" w:rsidRPr="00273453" w:rsidRDefault="00E0754B" w:rsidP="00273453">
      <w:pPr>
        <w:pStyle w:val="Heading1"/>
      </w:pPr>
      <w:bookmarkStart w:id="6" w:name="_Toc428454038"/>
      <w:bookmarkStart w:id="7" w:name="_Toc497685937"/>
      <w:r>
        <w:t>4. Η Ε.Ε. ως καταλύτης αλλαγών: μ</w:t>
      </w:r>
      <w:r w:rsidRPr="00273453">
        <w:t xml:space="preserve">ηχανισμοί </w:t>
      </w:r>
      <w:r>
        <w:t>μεταφοράς πιέσεων</w:t>
      </w:r>
      <w:bookmarkEnd w:id="6"/>
      <w:bookmarkEnd w:id="7"/>
    </w:p>
    <w:p w:rsidR="00E0754B" w:rsidRDefault="00E0754B" w:rsidP="00731484">
      <w:pPr>
        <w:spacing w:line="288" w:lineRule="auto"/>
      </w:pPr>
      <w:r>
        <w:t>Η συνειδητοποίηση της ανάγκης άμβλυνσης του βαθμού</w:t>
      </w:r>
      <w:r w:rsidRPr="00D343B8">
        <w:t xml:space="preserve"> </w:t>
      </w:r>
      <w:r>
        <w:t>α</w:t>
      </w:r>
      <w:r w:rsidRPr="00D343B8">
        <w:t xml:space="preserve">συμβατότητας </w:t>
      </w:r>
      <w:r>
        <w:t>ανάμεσα στην ελληνική διοίκηση και στις ευρωπαϊκές απαιτήσεις οδήγησε στη σταδιακή διαμόρφωση μεταρρυθμιστικών πρωτοβουλιών με στόχο τον εξορθολογισμό και εκσυγχρονισμό της διοίκησης. Η Ε.Ε. υπήρξε καταλύτης ως προς την προώθηση εγχώριων θεσμικών μεταβολών</w:t>
      </w:r>
      <w:r w:rsidRPr="00354566">
        <w:rPr>
          <w:noProof/>
        </w:rPr>
        <w:t xml:space="preserve"> (</w:t>
      </w:r>
      <w:r>
        <w:rPr>
          <w:noProof/>
          <w:lang w:val="en-US"/>
        </w:rPr>
        <w:t>Spanou</w:t>
      </w:r>
      <w:r w:rsidRPr="00354566">
        <w:rPr>
          <w:noProof/>
        </w:rPr>
        <w:t>, 2012</w:t>
      </w:r>
      <w:r>
        <w:rPr>
          <w:noProof/>
        </w:rPr>
        <w:sym w:font="Wingdings" w:char="F09E"/>
      </w:r>
      <w:r w:rsidRPr="00354566">
        <w:t xml:space="preserve"> </w:t>
      </w:r>
      <w:r>
        <w:rPr>
          <w:noProof/>
          <w:lang w:val="en-US"/>
        </w:rPr>
        <w:t>Vamvakas</w:t>
      </w:r>
      <w:r w:rsidRPr="00354566">
        <w:rPr>
          <w:noProof/>
        </w:rPr>
        <w:t>, 2012)</w:t>
      </w:r>
      <w:r>
        <w:rPr>
          <w:noProof/>
        </w:rPr>
        <w:t>,</w:t>
      </w:r>
      <w:r>
        <w:t xml:space="preserve"> πλαισιώνοντας και νομιμοποιώντας αιτήματα διοικητικού εκσυγχρονισμού. Η μεταφορά των πιέσεων για την προσαρμογή της δημόσιας διοίκησης σε ευρωπαϊκές προδιαγραφές βασίστηκε κυρίως στην υιοθέτηση ήπιων εξευρωπαϊστικών μηχανισμών</w:t>
      </w:r>
      <w:r>
        <w:rPr>
          <w:rStyle w:val="FootnoteReference"/>
        </w:rPr>
        <w:footnoteReference w:id="17"/>
      </w:r>
      <w:r>
        <w:t>. Εν τούτοις, δεν έλειψαν και εργαλεία που περιέκλειαν ισχυρή πίεση για αναγκαστική (ανελαστική) προσαρμογή της Ελλάδας, ιδίως μετά την εκδήλωση της βαθύτερης, μεταπολεμικά, δημοσιονομικής κρίσης (2009-2010) επακόλουθο της οποίας ήταν η μεγάλη συρρίκνωση της ελληνικής οικονομίας.</w:t>
      </w:r>
    </w:p>
    <w:p w:rsidR="00E0754B" w:rsidRDefault="00E0754B" w:rsidP="00731484">
      <w:pPr>
        <w:spacing w:line="288" w:lineRule="auto"/>
      </w:pPr>
    </w:p>
    <w:p w:rsidR="00E0754B" w:rsidRPr="00350B75" w:rsidRDefault="00E0754B" w:rsidP="00731484">
      <w:pPr>
        <w:spacing w:line="288" w:lineRule="auto"/>
      </w:pPr>
      <w:r>
        <w:t>Κατά την πρώιμη φάση της ένταξης της Ελλάδας στο κοινό ευρωπαϊκό οικοδόμημα (δεκαετία 1980) η Ε.Ε. λειτούργησε ως φορέας «αλλαγής εγχώριων  δομών ευκαιριών»</w:t>
      </w:r>
      <w:r>
        <w:rPr>
          <w:rStyle w:val="FootnoteReference"/>
        </w:rPr>
        <w:footnoteReference w:id="18"/>
      </w:r>
      <w:r>
        <w:t>. Με άλλα λόγια, ευνόησε την ανάδυση νέων θεσμικών δρώντων στο υφιστάμενο σύστημα διακυβέρνησης, οι οποίοι απέκτησαν –σε κάποιο βαθμό– πρόσβαση σε διαδικασίες πολιτικής (</w:t>
      </w:r>
      <w:r>
        <w:rPr>
          <w:lang w:val="en-US"/>
        </w:rPr>
        <w:t>politics</w:t>
      </w:r>
      <w:r>
        <w:t>)</w:t>
      </w:r>
      <w:r w:rsidRPr="00EF32C0">
        <w:t xml:space="preserve">. </w:t>
      </w:r>
      <w:r>
        <w:t>Το φαινόμενο παρατηρείται ιδίως στο πεδίο της διαμόρφωσης και υλοποίησης της ευρωπαϊκής πολιτικής συνοχής. Ειδικότερα, η εμφάνιση νέων δρώντων εντοπίζεται στην περίπτωση της εισαγωγής του θεσμού των δεκατριών περιφερειών</w:t>
      </w:r>
      <w:r>
        <w:rPr>
          <w:rStyle w:val="FootnoteReference"/>
        </w:rPr>
        <w:footnoteReference w:id="19"/>
      </w:r>
      <w:r>
        <w:t xml:space="preserve"> στο αποσυγκεντρωμένο  επίπεδο διοίκησης το 1986. </w:t>
      </w:r>
      <w:r w:rsidRPr="00D25DA6">
        <w:t>Είναι η περίοδος που το ελληνικό πολιτικό σύστημα καθίσταται δέκτης σημαντικών πιέσεων από την Ε</w:t>
      </w:r>
      <w:r>
        <w:t>.</w:t>
      </w:r>
      <w:r w:rsidRPr="00D25DA6">
        <w:t>Ε</w:t>
      </w:r>
      <w:r>
        <w:t>.</w:t>
      </w:r>
      <w:r w:rsidRPr="00D25DA6">
        <w:t xml:space="preserve"> για τη θεσμοθέτηση διοικητικών αρχών σε περιφερειακό επίπεδο, στο πλαίσιο προγραμματισμού, σχεδιασμού και υλοποίησης </w:t>
      </w:r>
      <w:r>
        <w:t xml:space="preserve">συγχρηματοδοτούμενων </w:t>
      </w:r>
      <w:r w:rsidRPr="00D25DA6">
        <w:t xml:space="preserve">προγραμμάτων </w:t>
      </w:r>
      <w:r>
        <w:t>της Ε.Ε. (Μεσογειακά Ολοκληρωμένα Προγράμματα–ΜΟΠ</w:t>
      </w:r>
      <w:r>
        <w:rPr>
          <w:rStyle w:val="FootnoteReference"/>
        </w:rPr>
        <w:footnoteReference w:id="20"/>
      </w:r>
      <w:r>
        <w:t>). Στο σχεδιασμό και την υλοποίηση των ΜΟΠ προβλέφθηκε να συμμετέχουν οι περιφερειακές αρχές των χωρών-μελών</w:t>
      </w:r>
      <w:r>
        <w:rPr>
          <w:noProof/>
        </w:rPr>
        <w:t xml:space="preserve"> (Μαραβέγιας, 2001, σ. 736)</w:t>
      </w:r>
      <w:r>
        <w:t>, οι οποίες όμως απουσίαζαν από τον θεσμικό χάρτη της Ελλάδας</w:t>
      </w:r>
      <w:r w:rsidRPr="00D25DA6">
        <w:t xml:space="preserve">. </w:t>
      </w:r>
      <w:r>
        <w:t>Η ασυμβατότητα ανάμεσα στο ελληνικό διοικητικό σύστημα (μέσα δεκαετίας 1980) και στις προδιαγραφές λειτουργίας και απαιτήσεις διαχείρισης των ΜΟΠ είχε ως συνέπεια τη θέσπιση της (αποσυγκεντρωμένης) περιφερειακής διοίκησης η οποία αποτελείτο από δεκατρείς περιφέρειες. Η ανάδυση του νέου θεσμού των περιφερειών δημιούργησε ευκαιρίες συμμετοχής τους στις διαδικασίες πολιτικής, δεδομένου ότι είχαν δικαίωμα να εμπλακούν ενεργά</w:t>
      </w:r>
      <w:r>
        <w:rPr>
          <w:rStyle w:val="FootnoteReference"/>
        </w:rPr>
        <w:footnoteReference w:id="21"/>
      </w:r>
      <w:r>
        <w:t xml:space="preserve"> στη διαμόρφωση και υλοποίηση της πολιτικής συνοχής, στη βάση των αρχών του προγραμματισμού (</w:t>
      </w:r>
      <w:r>
        <w:rPr>
          <w:lang w:val="en-US"/>
        </w:rPr>
        <w:t>programming</w:t>
      </w:r>
      <w:r>
        <w:t xml:space="preserve">) και της εταιρικής σχέσης </w:t>
      </w:r>
      <w:r w:rsidRPr="00EF32C0">
        <w:t>(</w:t>
      </w:r>
      <w:r>
        <w:rPr>
          <w:lang w:val="en-US"/>
        </w:rPr>
        <w:t>partnership</w:t>
      </w:r>
      <w:r w:rsidRPr="00EF32C0">
        <w:t xml:space="preserve">) </w:t>
      </w:r>
      <w:r>
        <w:t>που έτεμναν τις διαδικασίες της εν λόγω πολιτικής.</w:t>
      </w:r>
    </w:p>
    <w:p w:rsidR="00E0754B" w:rsidRPr="00350B75" w:rsidRDefault="00E0754B" w:rsidP="00731484">
      <w:pPr>
        <w:spacing w:line="288" w:lineRule="auto"/>
      </w:pPr>
    </w:p>
    <w:p w:rsidR="00E0754B" w:rsidRDefault="00E0754B" w:rsidP="00731484">
      <w:pPr>
        <w:spacing w:line="288" w:lineRule="auto"/>
      </w:pPr>
      <w:r>
        <w:t>Ένδειξη μεταφοράς πιέσεων από την Ε.Ε. στο εγχώριο διοικητικό πεδίο αποτελεί και το παράδειγμα της ανάδυσης νέων θεσμικών δρώντων</w:t>
      </w:r>
      <w:r>
        <w:rPr>
          <w:rStyle w:val="FootnoteReference"/>
        </w:rPr>
        <w:footnoteReference w:id="22"/>
      </w:r>
      <w:r>
        <w:t>μέσω της θεσμοθέτησης αυτοδιοίκησης Β΄ βαθμού το 1994 (νομαρχιακή αυτοδιοίκηση). Παρ’ ότι η εισαγωγή της είχε προβλεφθεί από το εγχώριο πολιτικό σύστημα</w:t>
      </w:r>
      <w:r>
        <w:rPr>
          <w:rStyle w:val="FootnoteReference"/>
        </w:rPr>
        <w:footnoteReference w:id="23"/>
      </w:r>
      <w:r>
        <w:t>, η διοικητική μεταβολή αναβλήθηκε λίγο πριν εφαρμοστεί</w:t>
      </w:r>
      <w:r>
        <w:rPr>
          <w:rStyle w:val="FootnoteReference"/>
        </w:rPr>
        <w:footnoteReference w:id="24"/>
      </w:r>
      <w:r>
        <w:t xml:space="preserve">. Η Ε.Ε. αποτέλεσε τον καταλύτη της υλοποίησής της μέσω της </w:t>
      </w:r>
      <w:r w:rsidRPr="00196074">
        <w:t>θέσπιση</w:t>
      </w:r>
      <w:r>
        <w:t>ς</w:t>
      </w:r>
      <w:r w:rsidRPr="00196074">
        <w:t xml:space="preserve"> της </w:t>
      </w:r>
      <w:r w:rsidRPr="000D6C53">
        <w:t xml:space="preserve">Επιτροπής των Περιφερειών (ΕτΠ) το 1992 (Συνθήκη του Μάαστριχτ) τονώνοντας τις εγχώριες φιλοδοξίες για αποκέντρωση (Verney </w:t>
      </w:r>
      <w:r w:rsidRPr="000D6C53">
        <w:rPr>
          <w:noProof/>
        </w:rPr>
        <w:t>(1994, σ. 177)</w:t>
      </w:r>
      <w:r w:rsidRPr="000D6C53">
        <w:t>). Ειδικότερα, όπως προβλεπόταν θεσμικά</w:t>
      </w:r>
      <w:r w:rsidRPr="000D6C53">
        <w:rPr>
          <w:rStyle w:val="FootnoteReference"/>
        </w:rPr>
        <w:footnoteReference w:id="25"/>
      </w:r>
      <w:r w:rsidRPr="000D6C53">
        <w:t>, η ΕτΠ θα απαρτιζόταν από «αντιπροσώπους των οργανισμών τοπικής αυτοδιοίκησης και περιφερειακής διοίκησης», όμως ως περιφερειακή διοίκηση εννοείτο σώμα με αιρετή φύση και όχι δομή της κεντρικής κυβέρνησης</w:t>
      </w:r>
      <w:r w:rsidRPr="000D6C53">
        <w:rPr>
          <w:rStyle w:val="FootnoteReference"/>
        </w:rPr>
        <w:footnoteReference w:id="26"/>
      </w:r>
      <w:r w:rsidRPr="000D6C53">
        <w:t xml:space="preserve">. Έτσι, σημειώθηκαν διαφωνίες και αντιδράσεις στην πρόθεση των ελληνικών κεντρικών αρχών για τη στελέχωση της ΕτΠ με διορισμένο προσωπικό των νομαρχιών </w:t>
      </w:r>
      <w:r w:rsidRPr="000D6C53">
        <w:rPr>
          <w:noProof/>
        </w:rPr>
        <w:t>(Mannozzi, 2005, σ. 174)</w:t>
      </w:r>
      <w:r w:rsidRPr="000D6C53">
        <w:t>. Οι αντιδράσεις συνέβαλαν στην πολιτική απόφαση μετατροπής των κρατικών νομαρχιών σε αυτοδιοικούμενες μονάδες (</w:t>
      </w:r>
      <w:r w:rsidRPr="000D6C53">
        <w:rPr>
          <w:lang w:val="en-US"/>
        </w:rPr>
        <w:t>ibid</w:t>
      </w:r>
      <w:r w:rsidRPr="000D6C53">
        <w:t>, σσ. 174-175)</w:t>
      </w:r>
      <w:r w:rsidRPr="000D6C53">
        <w:rPr>
          <w:rStyle w:val="FootnoteReference"/>
        </w:rPr>
        <w:footnoteReference w:id="27"/>
      </w:r>
      <w:r w:rsidRPr="000D6C53">
        <w:t>. Εμμέσως, η Ελλάδα υποχρεωνόταν να συμμορφωθεί καλύπτοντας το θεσμικό κενό της αντιπροσώπευσής της</w:t>
      </w:r>
      <w:r>
        <w:t xml:space="preserve"> σε ένα ευρωπαϊκό όργανο, μέσω της θεσμοθέτησης δευτέρου βαθμού αυτοδιοίκησης (νομαρχιακή αυτοδιοίκηση) εκπρόσωποι της οποίας συμμετείχαν τελικά στην εθνική αντιπροσωπεία της χώρας στην ΕτΠ.</w:t>
      </w:r>
    </w:p>
    <w:p w:rsidR="00E0754B" w:rsidRDefault="00E0754B" w:rsidP="00731484">
      <w:pPr>
        <w:spacing w:line="288" w:lineRule="auto"/>
      </w:pPr>
    </w:p>
    <w:p w:rsidR="00E0754B" w:rsidRPr="008B71A4" w:rsidRDefault="00E0754B" w:rsidP="00731484">
      <w:pPr>
        <w:spacing w:line="288" w:lineRule="auto"/>
      </w:pPr>
      <w:r>
        <w:t>Σε κεντρικό επίπεδο διοίκησης, εμφάνιση νέου θεσμικού δρώντα εντοπίζεται</w:t>
      </w:r>
      <w:r w:rsidRPr="00D25DA6">
        <w:t xml:space="preserve"> </w:t>
      </w:r>
      <w:r>
        <w:t xml:space="preserve">το 1996 με τη </w:t>
      </w:r>
      <w:r w:rsidRPr="00D25DA6">
        <w:t xml:space="preserve">θέσπιση της </w:t>
      </w:r>
      <w:r>
        <w:t>Μονάδας Οργάνωσης της Διαχείρισης ΑΕ (</w:t>
      </w:r>
      <w:r w:rsidRPr="00D25DA6">
        <w:t>ΜΟΔ ΑΕ</w:t>
      </w:r>
      <w:r>
        <w:t>)</w:t>
      </w:r>
      <w:r>
        <w:rPr>
          <w:rStyle w:val="FootnoteReference"/>
        </w:rPr>
        <w:footnoteReference w:id="28"/>
      </w:r>
      <w:r>
        <w:t>, μιας καινούργιας</w:t>
      </w:r>
      <w:r w:rsidRPr="00D25DA6">
        <w:t xml:space="preserve"> δομής υπαγόμενης στο Υπουργείο Οικονομίας και Οικονομικών</w:t>
      </w:r>
      <w:r>
        <w:t>.</w:t>
      </w:r>
      <w:r w:rsidRPr="00D25DA6">
        <w:t xml:space="preserve"> </w:t>
      </w:r>
      <w:r>
        <w:t xml:space="preserve">Στη ΜΟΔ ΑΕ αποδόθηκε η αρμοδιότητα για </w:t>
      </w:r>
      <w:r w:rsidRPr="00D25DA6">
        <w:t>την οργάνωση και διαχείριση των συγχρηματοδοτούμενων προγραμμάτων</w:t>
      </w:r>
      <w:r>
        <w:t xml:space="preserve"> των διαρθρωτικών ταμείων της Ε.Ε.</w:t>
      </w:r>
      <w:r w:rsidRPr="00D25DA6">
        <w:t xml:space="preserve"> Η σύσταση της νέας δομής </w:t>
      </w:r>
      <w:r>
        <w:t xml:space="preserve">προέκυψε εν πολλοίς ως αποτέλεσμα πιέσεων για την αντιμετώπιση ζητημάτων διοικητικής ανεπάρκειας των παραδοσιακών δομών δημόσιας διοίκησης, ιδίως ως προς τη μη αποτελεσματική ανταπόκρισή τους σε θέματα οργάνωσης και αξιοποίησης των χρηματοδοτικών πόρων της Ε.Ε. </w:t>
      </w:r>
      <w:r w:rsidRPr="00D25DA6">
        <w:t xml:space="preserve">Την ίδρυση της εταιρείας συνόδευσε η θέσπιση Ειδικών Υπηρεσιών Διαχείρισης ανά θεματικό </w:t>
      </w:r>
      <w:r>
        <w:t xml:space="preserve">πεδίο </w:t>
      </w:r>
      <w:r w:rsidRPr="00D25DA6">
        <w:t>πολιτικής και ανά γεωγραφική μονάδα αναφοράς (</w:t>
      </w:r>
      <w:r>
        <w:t>περιφέρειες</w:t>
      </w:r>
      <w:r w:rsidRPr="00D25DA6">
        <w:t>)</w:t>
      </w:r>
      <w:r>
        <w:t xml:space="preserve">, σχήματα τα οποία διατηρήθηκαν έως και την προγραμματική περίοδο 2014-2020. Πρακτικά, η θέσπιση της ΜΟΔ ΑΕ συνδέεται γραμμικά με τις απαιτήσεις και τις προδιαγραφές της ευρωπαϊκής πολιτικής συνοχής για αποτελεσματική οργάνωση και λειτουργία του συστήματος διαχείρισης και αξιοποίησης των διαρθρωτικών πόρων της Ε.Ε. </w:t>
      </w:r>
    </w:p>
    <w:p w:rsidR="00E0754B" w:rsidRDefault="00E0754B" w:rsidP="00731484">
      <w:pPr>
        <w:spacing w:line="288" w:lineRule="auto"/>
      </w:pPr>
    </w:p>
    <w:p w:rsidR="00E0754B" w:rsidRDefault="00E0754B" w:rsidP="00731484">
      <w:pPr>
        <w:spacing w:line="288" w:lineRule="auto"/>
      </w:pPr>
      <w:r>
        <w:t xml:space="preserve">Εκτός της πολιτικής συνοχής υπήρξαν και άλλα πεδία δημόσιων πολιτικών που εντοπίζονται ενδείξεις επίδρασης της Ε.Ε. Για παράδειγμα, η ευρωπαϊκή πολιτική περιβάλλοντος αποτελεί περίπτωση όπου </w:t>
      </w:r>
      <w:r w:rsidRPr="00D25DA6">
        <w:t xml:space="preserve">η σύσταση Γενικής Διεύθυνσης Περιβάλλοντος στο πρώην Υπουργείο ΠΕΧΩΔΕ υπακούει </w:t>
      </w:r>
      <w:r>
        <w:t xml:space="preserve">ομοίως </w:t>
      </w:r>
      <w:r w:rsidRPr="00D25DA6">
        <w:t>στη</w:t>
      </w:r>
      <w:r>
        <w:t xml:space="preserve"> </w:t>
      </w:r>
      <w:r w:rsidRPr="00D25DA6">
        <w:t>λογική της αλλαγής δομών ευκαιριών</w:t>
      </w:r>
      <w:r>
        <w:t xml:space="preserve"> μέσω της δημιουργίας νέων θεσμών. Η οργανωτική δομή της Γενικής Διεύθυνσης όπως έχει υποστηριχθεί αντικατόπτριζε την «έμμεση κοινοτική επιρροή», προκειμένου να ανταποκριθεί η ελληνική διοίκηση στις απαιτήσεις του συναφούς πεδίου πολιτικής </w:t>
      </w:r>
      <w:r>
        <w:rPr>
          <w:noProof/>
        </w:rPr>
        <w:t>(Γιαννακούρου, 2009, σ. 357)</w:t>
      </w:r>
      <w:r>
        <w:t xml:space="preserve">. Συναφώς, καταγράφονται </w:t>
      </w:r>
      <w:r w:rsidRPr="00BE5FE2">
        <w:t>αναδιοργανώσεις</w:t>
      </w:r>
      <w:r>
        <w:t xml:space="preserve"> υπηρεσιών σε επιμέρους διευθύνσεις Υπουργείων (π.χ. Αγροτικής Ανάπτυξης) στη λογική της ανταπόκρισής τους στις απαιτήσεις της Ε.Ε. για αποτελεσματικότητα στη διαχείριση των </w:t>
      </w:r>
      <w:r w:rsidRPr="000D6C53">
        <w:t xml:space="preserve">συγχρηματοδοτούμενων πόρων </w:t>
      </w:r>
      <w:r w:rsidRPr="000D6C53">
        <w:rPr>
          <w:noProof/>
        </w:rPr>
        <w:t>(Μαυρίκου, 2012)</w:t>
      </w:r>
      <w:r w:rsidRPr="000D6C53">
        <w:t>.</w:t>
      </w:r>
    </w:p>
    <w:p w:rsidR="00E0754B" w:rsidRDefault="00E0754B" w:rsidP="00731484">
      <w:pPr>
        <w:spacing w:line="288" w:lineRule="auto"/>
      </w:pPr>
    </w:p>
    <w:p w:rsidR="00E0754B" w:rsidRDefault="00E0754B" w:rsidP="00731484">
      <w:pPr>
        <w:spacing w:line="288" w:lineRule="auto"/>
      </w:pPr>
      <w:r>
        <w:t>Εκτός από περιπτώσεις αλλαγής των εγχώριων δομών ευκαιριών, η Ε.Ε. ευνόησε και την «οικειοθελή» μεταφορά πολιτικής</w:t>
      </w:r>
      <w:r>
        <w:rPr>
          <w:rStyle w:val="FootnoteReference"/>
        </w:rPr>
        <w:footnoteReference w:id="29"/>
      </w:r>
      <w:r>
        <w:t>. Εν προκειμένω, η</w:t>
      </w:r>
      <w:r w:rsidRPr="00D25DA6">
        <w:t xml:space="preserve"> </w:t>
      </w:r>
      <w:r>
        <w:t xml:space="preserve">επιρροή της </w:t>
      </w:r>
      <w:r w:rsidRPr="00D25DA6">
        <w:t>Ε</w:t>
      </w:r>
      <w:r>
        <w:t>.</w:t>
      </w:r>
      <w:r w:rsidRPr="00D25DA6">
        <w:t>Ε</w:t>
      </w:r>
      <w:r>
        <w:t>.</w:t>
      </w:r>
      <w:r w:rsidRPr="00D25DA6">
        <w:t xml:space="preserve"> δεν περιορίστηκε στις δομές διοίκησης</w:t>
      </w:r>
      <w:r>
        <w:t xml:space="preserve"> αλλά συνδέθηκε με δημόσιες πολιτικές</w:t>
      </w:r>
      <w:r w:rsidRPr="00D25DA6">
        <w:t xml:space="preserve">. </w:t>
      </w:r>
      <w:r>
        <w:t>Πρακτικά, ε</w:t>
      </w:r>
      <w:r w:rsidRPr="00D25DA6">
        <w:t>νδείξεις μεταφοράς</w:t>
      </w:r>
      <w:r>
        <w:t xml:space="preserve"> τεχνογνωσίας,</w:t>
      </w:r>
      <w:r w:rsidRPr="00D25DA6">
        <w:t xml:space="preserve"> </w:t>
      </w:r>
      <w:r>
        <w:t xml:space="preserve">δηλαδή διοικητικών τεχνικών και εργαλείων πολιτικής εντοπίζονται </w:t>
      </w:r>
      <w:r w:rsidRPr="00D25DA6">
        <w:t xml:space="preserve">σε εθνικά προγράμματα </w:t>
      </w:r>
      <w:r>
        <w:t>των οποίων</w:t>
      </w:r>
      <w:r w:rsidRPr="00D25DA6">
        <w:t xml:space="preserve"> η αρχιτεκτονική προσιδιάζει</w:t>
      </w:r>
      <w:r>
        <w:t xml:space="preserve"> στη δομή των συγχρηματοδοτούμενων προγραμμάτων των Κοινοτικών Πλαισίων Στήριξης (ΚΠΣ). Για παράδειγμα, το σύστημα διοίκησης και η αρχιτεκτονική διάρθρωση του προγράμματος «Πολιτεία»</w:t>
      </w:r>
      <w:r>
        <w:rPr>
          <w:rStyle w:val="FootnoteReference"/>
        </w:rPr>
        <w:footnoteReference w:id="30"/>
      </w:r>
      <w:r>
        <w:t xml:space="preserve"> (ν. 2880.2001) που αφορούσε τον εκσυγχρονισμό της δημόσιας διοίκησης παρουσιάζει ομοιότητες με τα ΚΠΣ, καθώς προβλεπόταν κεντρικό όργανο του προγράμματος με αρμοδιότητα την παρακολούθηση και τον έλεγχο εφαρμογής του καθώς και επιτροπές παρακολούθησης ανά κεντρικό και περιφερειακό επιχειρησιακό πρόγραμμα, χαρακτηριστικά που εντοπίζονται στα (προϋπάρχοντα) ΚΠΣ. Συναφής ένδειξη μεταφοράς εργαλείων πολιτικής αποτελεί το στοιχείο ότι η κεντρική επιτροπή παρακολούθησης του «Πολιτεία» θα επικουρούνταν από Γραμματεία, η οποία θα στελεχωνόταν με ειδικευμένο προσωπικό «εφαρμοζομένων αναλόγως των διατάξεων που προβλέπονται για τις διαχειριστικές αρχές του Γ΄ ΚΠΣ»</w:t>
      </w:r>
      <w:r>
        <w:rPr>
          <w:rStyle w:val="FootnoteReference"/>
        </w:rPr>
        <w:footnoteReference w:id="31"/>
      </w:r>
      <w:r>
        <w:t xml:space="preserve">. </w:t>
      </w:r>
    </w:p>
    <w:p w:rsidR="00E0754B" w:rsidRDefault="00E0754B" w:rsidP="00731484">
      <w:pPr>
        <w:spacing w:line="288" w:lineRule="auto"/>
      </w:pPr>
    </w:p>
    <w:p w:rsidR="00E0754B" w:rsidRDefault="00E0754B" w:rsidP="00731484">
      <w:pPr>
        <w:spacing w:line="288" w:lineRule="auto"/>
      </w:pPr>
      <w:r>
        <w:t>Ομοίως, το επιχειρησιακό πρόγραμμα «ΕΠΤΑ»</w:t>
      </w:r>
      <w:r>
        <w:rPr>
          <w:rStyle w:val="FootnoteReference"/>
        </w:rPr>
        <w:footnoteReference w:id="32"/>
      </w:r>
      <w:r>
        <w:t xml:space="preserve"> και ο διάδοχός του («Θησέας»</w:t>
      </w:r>
      <w:r>
        <w:rPr>
          <w:rStyle w:val="FootnoteReference"/>
        </w:rPr>
        <w:footnoteReference w:id="33"/>
      </w:r>
      <w:r>
        <w:t xml:space="preserve">) παρέχουν ενδείξεις άτυπης μεταφοράς τεχνικών κατάρτισης των επιχειρησιακών και περιφερειακών προγραμμάτων των ΚΠΣ, τουλάχιστον σε ό,τι αφορά το σύστημα διοίκησης (κεντρική επιτροπή παρακολούθησης, περιφερειακές επιτροπές, ανθρώπινο δυναμικό υποστήριξης) την αρχιτεκτονική της δομής τους και τη διαδικασία υπαγωγής προγραμμάτων (υποπρόγραμμα, έργο, προένταξη, οριστική ένταξη). Συναφώς, έχει υποστηριχθεί ότι, στο πλαίσιο των συγχρηματοδοτούμενων προγραμμάτων, η ύπαρξη εξειδικευμένου ανθρώπινου δυναμικού των Ειδικών Υπηρεσιών Διαχείρισης ευνόησε, σε κάποιο βαθμό, τη </w:t>
      </w:r>
      <w:r w:rsidRPr="00D91267">
        <w:t>μεταφορά τεχνογνωσίας</w:t>
      </w:r>
      <w:r>
        <w:t xml:space="preserve"> και σε άλλες διοικητικές δομές </w:t>
      </w:r>
      <w:r w:rsidRPr="007D7272">
        <w:rPr>
          <w:noProof/>
        </w:rPr>
        <w:t>(Andreou, 2010</w:t>
      </w:r>
      <w:r>
        <w:rPr>
          <w:noProof/>
        </w:rPr>
        <w:t>, σ. 23</w:t>
      </w:r>
      <w:r w:rsidRPr="007D7272">
        <w:rPr>
          <w:noProof/>
        </w:rPr>
        <w:t>)</w:t>
      </w:r>
      <w:r>
        <w:t xml:space="preserve">. </w:t>
      </w:r>
    </w:p>
    <w:p w:rsidR="00E0754B" w:rsidRDefault="00E0754B" w:rsidP="00731484">
      <w:pPr>
        <w:spacing w:line="288" w:lineRule="auto"/>
      </w:pPr>
    </w:p>
    <w:p w:rsidR="00E0754B" w:rsidRDefault="00E0754B" w:rsidP="00731484">
      <w:pPr>
        <w:spacing w:line="288" w:lineRule="auto"/>
      </w:pPr>
      <w:r>
        <w:rPr>
          <w:noProof/>
          <w:lang w:val="en-US" w:eastAsia="en-US"/>
        </w:rPr>
        <w:pict>
          <v:roundrect id="_x0000_s1026" style="position:absolute;left:0;text-align:left;margin-left:-3.55pt;margin-top:42pt;width:230.05pt;height:288.3pt;flip:y;z-index:251658240;mso-wrap-distance-left:36pt;mso-wrap-distance-top:7.2pt;mso-wrap-distance-right:7.2pt;mso-wrap-distance-bottom:7.2pt;mso-position-horizontal-relative:margin;mso-position-vertical-relative:margin" arcsize="3887f" o:allowincell="f" fillcolor="#d3dfee" stroked="f" strokecolor="#e36c0a" strokeweight="1pt">
            <v:fill color2="#d78e8c" rotate="t"/>
            <v:imagedata embosscolor="shadow add(51)"/>
            <v:shadow type="perspective" color="#31849b" origin=",.5" offset="0,-123pt" offset2=",-246pt" matrix=",,,-1"/>
            <o:extrusion v:ext="view" backdepth="0" color="#8bb1e2" rotationangle="25,25" viewpoint="0,0" viewpointorigin="0,0" skewangle="0" skewamt="0" lightposition="-50000,-50000" lightposition2="50000"/>
            <v:textbox style="mso-next-textbox:#_x0000_s1026" inset=",7.2pt,,7.2pt">
              <w:txbxContent>
                <w:p w:rsidR="00E0754B" w:rsidRPr="00F41DC5" w:rsidRDefault="00E0754B" w:rsidP="00F41DC5">
                  <w:pPr>
                    <w:spacing w:line="240" w:lineRule="auto"/>
                    <w:rPr>
                      <w:b/>
                      <w:sz w:val="18"/>
                    </w:rPr>
                  </w:pPr>
                  <w:r w:rsidRPr="00F41DC5">
                    <w:rPr>
                      <w:b/>
                      <w:sz w:val="18"/>
                    </w:rPr>
                    <w:t>Πλαίσιο 1</w:t>
                  </w:r>
                  <w:r>
                    <w:rPr>
                      <w:b/>
                      <w:sz w:val="18"/>
                    </w:rPr>
                    <w:t>: Η Ε.Ε. ως «δρών αρνησικυρίας»</w:t>
                  </w:r>
                </w:p>
                <w:p w:rsidR="00E0754B" w:rsidRPr="00F41DC5" w:rsidRDefault="00E0754B" w:rsidP="00F41DC5">
                  <w:pPr>
                    <w:spacing w:line="240" w:lineRule="auto"/>
                    <w:rPr>
                      <w:sz w:val="18"/>
                    </w:rPr>
                  </w:pPr>
                  <w:r w:rsidRPr="00F41DC5">
                    <w:rPr>
                      <w:sz w:val="18"/>
                    </w:rPr>
                    <w:t>Η επίδραση της Ε.Ε. στην ελληνική διοίκηση δεν ερμηνεύεται μόνον με μηχανισμούς διευκόλυνσης αλλαγών και μεταρρυθμίσεων</w:t>
                  </w:r>
                  <w:r>
                    <w:rPr>
                      <w:sz w:val="18"/>
                    </w:rPr>
                    <w:t xml:space="preserve"> (ανάδυση νέων δρώντων, πλαισίωση προσδοκιών, μεταφορά πολιτικής)</w:t>
                  </w:r>
                  <w:r w:rsidRPr="00F41DC5">
                    <w:rPr>
                      <w:sz w:val="18"/>
                    </w:rPr>
                    <w:t xml:space="preserve">. Η αντίστροφη θέαση της επίδρασης δείχνει ότι η Ε.Ε. απέρριψε διοικητικές αλλαγές. </w:t>
                  </w:r>
                  <w:r>
                    <w:rPr>
                      <w:sz w:val="18"/>
                    </w:rPr>
                    <w:t>Ενδεικτική</w:t>
                  </w:r>
                  <w:r w:rsidRPr="00F41DC5">
                    <w:rPr>
                      <w:sz w:val="18"/>
                    </w:rPr>
                    <w:t xml:space="preserve"> περίπτωση </w:t>
                  </w:r>
                  <w:r>
                    <w:rPr>
                      <w:sz w:val="18"/>
                    </w:rPr>
                    <w:t>αποτελεί</w:t>
                  </w:r>
                  <w:r w:rsidRPr="00F41DC5">
                    <w:rPr>
                      <w:sz w:val="18"/>
                    </w:rPr>
                    <w:t xml:space="preserve"> το εγχείρημα της θεσμοθέτησης πέντε «αναπτυξιακών περιφερειών» (</w:t>
                  </w:r>
                  <w:r w:rsidRPr="00A45195">
                    <w:rPr>
                      <w:sz w:val="18"/>
                    </w:rPr>
                    <w:t>Υπουργείο Εσωτερικών, Δημόσιας Διο</w:t>
                  </w:r>
                  <w:r>
                    <w:rPr>
                      <w:sz w:val="18"/>
                    </w:rPr>
                    <w:t>ίκησης και Αποκέντρωσης, 2006</w:t>
                  </w:r>
                  <w:r w:rsidRPr="00A45195">
                    <w:rPr>
                      <w:sz w:val="18"/>
                    </w:rPr>
                    <w:t>)</w:t>
                  </w:r>
                  <w:r w:rsidRPr="00A45195">
                    <w:rPr>
                      <w:rFonts w:cs="Cambria"/>
                      <w:sz w:val="18"/>
                    </w:rPr>
                    <w:t>. Το 2004 προωθήθηκε</w:t>
                  </w:r>
                  <w:r w:rsidRPr="00F41DC5">
                    <w:rPr>
                      <w:rFonts w:cs="Cambria"/>
                      <w:sz w:val="18"/>
                    </w:rPr>
                    <w:t xml:space="preserve"> κυβερνητική πρωτοβουλία για αναδιάρθρωση των αρμοδιοτήτων των δεκατριών περιφερειών εν’ όψει της προγραμματική</w:t>
                  </w:r>
                  <w:r w:rsidRPr="00F41DC5">
                    <w:rPr>
                      <w:sz w:val="18"/>
                    </w:rPr>
                    <w:t xml:space="preserve">ς περιόδου 2007-2013 της πολιτικής συνοχής. Η λογική της μεταρρύθμισης </w:t>
                  </w:r>
                  <w:r>
                    <w:rPr>
                      <w:sz w:val="18"/>
                    </w:rPr>
                    <w:t>τεκμηριώθηκε</w:t>
                  </w:r>
                  <w:r w:rsidRPr="00F41DC5">
                    <w:rPr>
                      <w:sz w:val="18"/>
                    </w:rPr>
                    <w:t xml:space="preserve"> στη βελτίωση της δράσης των περιφερειακών θεσμών και στην επωφελέστερη κατανομή των πόρων των ευρωπαϊκών διαρθρωτικών και επενδυτικών ταμείων. Το νέο διοικητικό σχήμα θα εισήγαγε πέντε διευρυμένες «αναπτυξιακές περιφέρειες». Εν τούτοις, η πρωτοβουλία δεν προχώρησε καθώς η Ευρωπαϊκή Επιτροπή δεν συναίνεσε στην επιδιωκόμενη μεταβολή του διοικητικού χάρτη</w:t>
                  </w:r>
                  <w:r>
                    <w:rPr>
                      <w:sz w:val="18"/>
                    </w:rPr>
                    <w:t>,</w:t>
                  </w:r>
                  <w:r w:rsidRPr="00F41DC5">
                    <w:rPr>
                      <w:sz w:val="18"/>
                    </w:rPr>
                    <w:t xml:space="preserve"> </w:t>
                  </w:r>
                  <w:r>
                    <w:rPr>
                      <w:sz w:val="18"/>
                    </w:rPr>
                    <w:t>εμφανιζόμενη</w:t>
                  </w:r>
                  <w:r w:rsidRPr="00F41DC5">
                    <w:rPr>
                      <w:sz w:val="18"/>
                    </w:rPr>
                    <w:t xml:space="preserve"> ως «</w:t>
                  </w:r>
                  <w:r>
                    <w:rPr>
                      <w:sz w:val="18"/>
                    </w:rPr>
                    <w:t>δρών αρνησικυρίας» (veto player</w:t>
                  </w:r>
                  <w:r w:rsidRPr="00F41DC5">
                    <w:rPr>
                      <w:sz w:val="18"/>
                    </w:rPr>
                    <w:t>).</w:t>
                  </w:r>
                </w:p>
              </w:txbxContent>
            </v:textbox>
            <w10:wrap type="square" anchorx="margin" anchory="margin"/>
          </v:roundrect>
        </w:pict>
      </w:r>
      <w:r>
        <w:t>Η ανάδυση νέων εγχώριων θεσμικών δρώντων και η μεταφορά πολιτικής συνιστούν δυο μηχανισμούς μεταβίβασης των ενωσιακών επιδράσεων στο εγχώριο διοικητικό πεδίο. Επιπλέον, η Ε</w:t>
      </w:r>
      <w:r w:rsidRPr="00CD2FEF">
        <w:t>.</w:t>
      </w:r>
      <w:r>
        <w:t>Ε</w:t>
      </w:r>
      <w:r w:rsidRPr="00CD2FEF">
        <w:t>.</w:t>
      </w:r>
      <w:r>
        <w:t xml:space="preserve"> άσκησε επίδραση και μέσω της πλαισίωσης προσδοκιών</w:t>
      </w:r>
      <w:r>
        <w:rPr>
          <w:rStyle w:val="FootnoteReference"/>
        </w:rPr>
        <w:footnoteReference w:id="34"/>
      </w:r>
      <w:r>
        <w:t xml:space="preserve"> των εγχώριων πολιτικο-διοικητικών δρώντων</w:t>
      </w:r>
      <w:r w:rsidRPr="00CD2FEF">
        <w:t xml:space="preserve"> </w:t>
      </w:r>
      <w:r>
        <w:t xml:space="preserve">ευνοώντας την καλλιέργεια ιδεών και πεποιθήσεων σε επιμέρους ζητήματα θεσμικού εκσυγχρονισμού και (δια)κυβέρνησης. Για παράδειγμα, η </w:t>
      </w:r>
      <w:r w:rsidRPr="00C868C5">
        <w:t>σύγκλιση με την ευρωπαϊκή πραγματικότη</w:t>
      </w:r>
      <w:r>
        <w:t xml:space="preserve">τα σε ζητήματα αυτοδιοίκησης και </w:t>
      </w:r>
      <w:r w:rsidRPr="00C868C5">
        <w:t xml:space="preserve">αποκέντρωσης </w:t>
      </w:r>
      <w:r>
        <w:t xml:space="preserve">υιοθετήθηκε ως </w:t>
      </w:r>
      <w:r w:rsidRPr="00C868C5">
        <w:t>στόχο</w:t>
      </w:r>
      <w:r>
        <w:t>ς</w:t>
      </w:r>
      <w:r w:rsidRPr="00C868C5">
        <w:t xml:space="preserve"> </w:t>
      </w:r>
      <w:r>
        <w:t>πολιτικής από εγχώριους πολιτικούς δρώντες</w:t>
      </w:r>
      <w:r w:rsidRPr="00C868C5">
        <w:rPr>
          <w:rStyle w:val="FootnoteReference"/>
        </w:rPr>
        <w:footnoteReference w:id="35"/>
      </w:r>
      <w:r>
        <w:t>. Η</w:t>
      </w:r>
      <w:r w:rsidRPr="00345035">
        <w:t xml:space="preserve"> </w:t>
      </w:r>
      <w:r>
        <w:t>πλαισίωση</w:t>
      </w:r>
      <w:r w:rsidRPr="00345035">
        <w:t xml:space="preserve"> </w:t>
      </w:r>
      <w:r>
        <w:t>από</w:t>
      </w:r>
      <w:r w:rsidRPr="00345035">
        <w:t xml:space="preserve"> </w:t>
      </w:r>
      <w:r>
        <w:t>την</w:t>
      </w:r>
      <w:r w:rsidRPr="00345035">
        <w:t xml:space="preserve"> </w:t>
      </w:r>
      <w:r>
        <w:t>Ε</w:t>
      </w:r>
      <w:r w:rsidRPr="00345035">
        <w:t>.</w:t>
      </w:r>
      <w:r>
        <w:t>Ε</w:t>
      </w:r>
      <w:r w:rsidRPr="00345035">
        <w:t>.</w:t>
      </w:r>
      <w:r>
        <w:t xml:space="preserve"> των εγχώριων προσδοκιών για περαιτέρω ενδυνάμωση του ρόλου της αυτοδιοίκησης προωθήθηκε –μεταξύ άλλων– με την έκδοση της Λευκής Βίβλου για τη Διακυβέρνηση από την Ευρωπαϊκή Επιτροπή (2001), τη Συνθήκη για τη Λειτουργία της Ε.Ε. (Συνθήκη της Λισσαβώνας) που υπογράφηκε το 2007 στη Λισσαβώνα και τη χάρτα για την πολυεπίπεδη διακυβέρνηση της Επιτροπής των Περιφερειών (2009). Έτσι, το</w:t>
      </w:r>
      <w:r w:rsidRPr="003D38DF">
        <w:t xml:space="preserve"> </w:t>
      </w:r>
      <w:r>
        <w:t>προωθούμενο από την Ε.Ε. μοντέλο της πολυεπίπεδης διακυβέρνησης (</w:t>
      </w:r>
      <w:r>
        <w:rPr>
          <w:lang w:val="en-US"/>
        </w:rPr>
        <w:t>multi</w:t>
      </w:r>
      <w:r>
        <w:t>-</w:t>
      </w:r>
      <w:r>
        <w:rPr>
          <w:lang w:val="en-US"/>
        </w:rPr>
        <w:t>level</w:t>
      </w:r>
      <w:r w:rsidRPr="008D46F1">
        <w:t xml:space="preserve"> </w:t>
      </w:r>
      <w:r>
        <w:rPr>
          <w:lang w:val="en-US"/>
        </w:rPr>
        <w:t>governance</w:t>
      </w:r>
      <w:r>
        <w:t>)</w:t>
      </w:r>
      <w:r w:rsidRPr="00F85DE2">
        <w:rPr>
          <w:rStyle w:val="FootnoteReference"/>
        </w:rPr>
        <w:t xml:space="preserve"> </w:t>
      </w:r>
      <w:r>
        <w:rPr>
          <w:rStyle w:val="FootnoteReference"/>
        </w:rPr>
        <w:footnoteReference w:id="36"/>
      </w:r>
      <w:r>
        <w:t xml:space="preserve"> αποτυπώθηκε στην αιτιολογική έκθεση της νέας αρχιτεκτονικής διακυβέρνησης της χώρας (πρόγραμμα «Καλλικράτης», ν. 3852.2010) με τη συχνή επίκληση της έννοιας, δηλωτική της αποδοχής της, οδηγώντας μεταξύ άλλων μεταβολών στη θεσμοθέτηση της περιφερειακής αυτοδιοίκησης. Πρακτικά, η Ε.Ε. πλαισίωσε ιδέες, πεποιθήσεις και προσδοκίες των εγχώριων δρώντων για το ρόλο των αυτοδιοικητικών θεσμών στο εγχώριο σύστημα διακυβέρνησης.</w:t>
      </w:r>
    </w:p>
    <w:p w:rsidR="00E0754B" w:rsidRDefault="00E0754B" w:rsidP="00731484">
      <w:pPr>
        <w:spacing w:line="288" w:lineRule="auto"/>
      </w:pPr>
    </w:p>
    <w:p w:rsidR="00E0754B" w:rsidRDefault="00E0754B" w:rsidP="004D27AF">
      <w:pPr>
        <w:spacing w:line="288" w:lineRule="auto"/>
      </w:pPr>
      <w:r>
        <w:t>Με αμιγώς χρηματοδοτικούς όρους, η Ε.Ε. υπήρξε σημαντικός αρωγός στην υλοποίηση μεταρρυθμιστικών δράσεων. Στο πλαίσιο της ευρωπαϊκής πολιτικής συνοχής, ενέκρινε εξειδικευμένα επιχειρησιακά προγράμματα που εστίαζαν στον εκσυγχρονισμό της δημόσιας διοίκησης. Όπως προκύπτει από τον πίνακα 1 τα εν λόγω προγράμματα αφορούν συγκεκριμένες προγραμματικές περιόδους, αν και χρήματα εκταμιεύθηκαν και μέσω άλλων τομεακών προγραμμάτων (π.χ. «Κοινωνία της Πληροφορίας», έργα</w:t>
      </w:r>
      <w:r w:rsidRPr="00E05A1D">
        <w:t xml:space="preserve"> </w:t>
      </w:r>
      <w:r>
        <w:rPr>
          <w:lang w:val="en-US"/>
        </w:rPr>
        <w:t>Syzefxis</w:t>
      </w:r>
      <w:r>
        <w:t xml:space="preserve">, </w:t>
      </w:r>
      <w:r>
        <w:rPr>
          <w:lang w:val="en-US"/>
        </w:rPr>
        <w:t>Ermis</w:t>
      </w:r>
      <w:r>
        <w:t xml:space="preserve">) που εντοπίζονται και σε άλλες προγραμματικές περιόδους. Το σύνολο των ευρωπαϊκών κονδυλίων ανέρχεται σε 1,3 δις ευρώ περίπου. Στις  χρηματοδοτούμενες δράσεις συμπεριλαμβάνονται έργα που αφορούν όλα τα επίπεδα διοίκησης (κεντρικό, αποσυγκεντρωμένο, αυτοδιοικητικό) και συνδέονται με την υποστήριξη σημαντικών διοικητικών μεταβολών (π.χ. συγχρηματοδότηση προγράμματος «Καλλικράτης») με εκσυγχρονισμό διαδικασιών (πρόγραμμα </w:t>
      </w:r>
      <w:r>
        <w:rPr>
          <w:lang w:val="en-US"/>
        </w:rPr>
        <w:t>Taxisnet</w:t>
      </w:r>
      <w:r>
        <w:t xml:space="preserve">, έργα ηλεκτρονικής διακυβέρνησης) και με την εκπαίδευση και κατάρτιση προσωπικού (δράσεις του Εθνικού Κέντρου Δημόσιας Διοίκησης και Αυτοδιοίκησης). </w:t>
      </w:r>
    </w:p>
    <w:p w:rsidR="00E0754B" w:rsidRDefault="00E0754B" w:rsidP="004D27AF">
      <w:pPr>
        <w:spacing w:line="288" w:lineRule="auto"/>
      </w:pPr>
    </w:p>
    <w:p w:rsidR="00E0754B" w:rsidRDefault="00E0754B" w:rsidP="004D27AF">
      <w:pPr>
        <w:pStyle w:val="Caption"/>
        <w:keepNext/>
      </w:pPr>
      <w:r>
        <w:tab/>
        <w:t xml:space="preserve">Πίνακας </w:t>
      </w:r>
      <w:fldSimple w:instr=" SEQ Πίνακας \* ARABIC ">
        <w:r>
          <w:rPr>
            <w:noProof/>
          </w:rPr>
          <w:t>1</w:t>
        </w:r>
      </w:fldSimple>
      <w:r>
        <w:t>: Συγχρηματοδοτούμενα τομεακά προγράμματα για τη δημόσια διοίκηση.</w:t>
      </w:r>
    </w:p>
    <w:tbl>
      <w:tblPr>
        <w:tblW w:w="8478" w:type="dxa"/>
        <w:jc w:val="center"/>
        <w:tblBorders>
          <w:top w:val="single" w:sz="4" w:space="0" w:color="000000"/>
          <w:bottom w:val="single" w:sz="4" w:space="0" w:color="000000"/>
        </w:tblBorders>
        <w:tblLook w:val="00A0"/>
      </w:tblPr>
      <w:tblGrid>
        <w:gridCol w:w="1874"/>
        <w:gridCol w:w="3364"/>
        <w:gridCol w:w="1080"/>
        <w:gridCol w:w="1170"/>
        <w:gridCol w:w="990"/>
      </w:tblGrid>
      <w:tr w:rsidR="00E0754B" w:rsidRPr="00082418" w:rsidTr="00082418">
        <w:trPr>
          <w:jc w:val="center"/>
        </w:trPr>
        <w:tc>
          <w:tcPr>
            <w:tcW w:w="1874" w:type="dxa"/>
            <w:tcBorders>
              <w:top w:val="single" w:sz="4" w:space="0" w:color="000000"/>
              <w:bottom w:val="single" w:sz="4" w:space="0" w:color="000000"/>
            </w:tcBorders>
            <w:vAlign w:val="center"/>
          </w:tcPr>
          <w:p w:rsidR="00E0754B" w:rsidRPr="00082418" w:rsidRDefault="00E0754B" w:rsidP="00082418">
            <w:pPr>
              <w:spacing w:line="240" w:lineRule="auto"/>
              <w:jc w:val="center"/>
              <w:rPr>
                <w:b/>
                <w:sz w:val="20"/>
              </w:rPr>
            </w:pPr>
            <w:r w:rsidRPr="00082418">
              <w:rPr>
                <w:b/>
                <w:sz w:val="20"/>
              </w:rPr>
              <w:t>Περίοδος</w:t>
            </w:r>
          </w:p>
        </w:tc>
        <w:tc>
          <w:tcPr>
            <w:tcW w:w="3364" w:type="dxa"/>
            <w:tcBorders>
              <w:top w:val="single" w:sz="4" w:space="0" w:color="000000"/>
              <w:bottom w:val="single" w:sz="4" w:space="0" w:color="000000"/>
            </w:tcBorders>
            <w:vAlign w:val="center"/>
          </w:tcPr>
          <w:p w:rsidR="00E0754B" w:rsidRPr="00082418" w:rsidRDefault="00E0754B" w:rsidP="00082418">
            <w:pPr>
              <w:spacing w:line="240" w:lineRule="auto"/>
              <w:jc w:val="center"/>
              <w:rPr>
                <w:b/>
                <w:sz w:val="20"/>
              </w:rPr>
            </w:pPr>
            <w:r w:rsidRPr="00082418">
              <w:rPr>
                <w:b/>
                <w:sz w:val="20"/>
              </w:rPr>
              <w:t xml:space="preserve">Επιχειρησιακό πρόγραμμα </w:t>
            </w:r>
          </w:p>
        </w:tc>
        <w:tc>
          <w:tcPr>
            <w:tcW w:w="1080" w:type="dxa"/>
            <w:tcBorders>
              <w:top w:val="single" w:sz="4" w:space="0" w:color="000000"/>
              <w:bottom w:val="single" w:sz="4" w:space="0" w:color="000000"/>
            </w:tcBorders>
            <w:vAlign w:val="center"/>
          </w:tcPr>
          <w:p w:rsidR="00E0754B" w:rsidRPr="00082418" w:rsidRDefault="00E0754B" w:rsidP="00082418">
            <w:pPr>
              <w:spacing w:line="240" w:lineRule="auto"/>
              <w:jc w:val="center"/>
              <w:rPr>
                <w:b/>
                <w:sz w:val="20"/>
              </w:rPr>
            </w:pPr>
            <w:r w:rsidRPr="00082418">
              <w:rPr>
                <w:b/>
                <w:sz w:val="20"/>
              </w:rPr>
              <w:t>Πόροι*</w:t>
            </w:r>
          </w:p>
        </w:tc>
        <w:tc>
          <w:tcPr>
            <w:tcW w:w="1170" w:type="dxa"/>
            <w:tcBorders>
              <w:top w:val="single" w:sz="4" w:space="0" w:color="000000"/>
              <w:bottom w:val="single" w:sz="4" w:space="0" w:color="000000"/>
            </w:tcBorders>
            <w:vAlign w:val="center"/>
          </w:tcPr>
          <w:p w:rsidR="00E0754B" w:rsidRPr="00082418" w:rsidRDefault="00E0754B" w:rsidP="00082418">
            <w:pPr>
              <w:tabs>
                <w:tab w:val="clear" w:pos="397"/>
                <w:tab w:val="left" w:pos="0"/>
              </w:tabs>
              <w:spacing w:line="240" w:lineRule="auto"/>
              <w:jc w:val="center"/>
              <w:rPr>
                <w:b/>
                <w:sz w:val="20"/>
              </w:rPr>
            </w:pPr>
            <w:r w:rsidRPr="00082418">
              <w:rPr>
                <w:b/>
                <w:sz w:val="20"/>
              </w:rPr>
              <w:t>Σύνολο πόρων*</w:t>
            </w:r>
          </w:p>
        </w:tc>
        <w:tc>
          <w:tcPr>
            <w:tcW w:w="990" w:type="dxa"/>
            <w:tcBorders>
              <w:top w:val="single" w:sz="4" w:space="0" w:color="000000"/>
              <w:bottom w:val="single" w:sz="4" w:space="0" w:color="000000"/>
            </w:tcBorders>
          </w:tcPr>
          <w:p w:rsidR="00E0754B" w:rsidRPr="00082418" w:rsidRDefault="00E0754B" w:rsidP="00082418">
            <w:pPr>
              <w:tabs>
                <w:tab w:val="clear" w:pos="397"/>
                <w:tab w:val="left" w:pos="0"/>
              </w:tabs>
              <w:spacing w:line="240" w:lineRule="auto"/>
              <w:jc w:val="center"/>
              <w:rPr>
                <w:b/>
                <w:sz w:val="20"/>
              </w:rPr>
            </w:pPr>
            <w:r w:rsidRPr="00082418">
              <w:rPr>
                <w:b/>
                <w:sz w:val="20"/>
              </w:rPr>
              <w:t xml:space="preserve">Μερίδιο </w:t>
            </w:r>
          </w:p>
        </w:tc>
      </w:tr>
      <w:tr w:rsidR="00E0754B" w:rsidRPr="00082418" w:rsidTr="00082418">
        <w:trPr>
          <w:jc w:val="center"/>
        </w:trPr>
        <w:tc>
          <w:tcPr>
            <w:tcW w:w="1874" w:type="dxa"/>
          </w:tcPr>
          <w:p w:rsidR="00E0754B" w:rsidRPr="00082418" w:rsidRDefault="00E0754B" w:rsidP="00082418">
            <w:pPr>
              <w:spacing w:line="240" w:lineRule="auto"/>
              <w:rPr>
                <w:sz w:val="20"/>
              </w:rPr>
            </w:pPr>
            <w:r w:rsidRPr="00082418">
              <w:rPr>
                <w:sz w:val="20"/>
              </w:rPr>
              <w:t xml:space="preserve">Β’ ΚΠΣ 1994-1999 </w:t>
            </w:r>
          </w:p>
        </w:tc>
        <w:tc>
          <w:tcPr>
            <w:tcW w:w="3364" w:type="dxa"/>
          </w:tcPr>
          <w:p w:rsidR="00E0754B" w:rsidRPr="00082418" w:rsidRDefault="00E0754B" w:rsidP="00082418">
            <w:pPr>
              <w:spacing w:line="240" w:lineRule="auto"/>
              <w:jc w:val="left"/>
              <w:rPr>
                <w:sz w:val="20"/>
              </w:rPr>
            </w:pPr>
            <w:r w:rsidRPr="00082418">
              <w:rPr>
                <w:sz w:val="20"/>
              </w:rPr>
              <w:t>Δημόσια διοίκηση (Κλεισθένης)</w:t>
            </w:r>
          </w:p>
        </w:tc>
        <w:tc>
          <w:tcPr>
            <w:tcW w:w="1080" w:type="dxa"/>
          </w:tcPr>
          <w:p w:rsidR="00E0754B" w:rsidRPr="00082418" w:rsidRDefault="00E0754B" w:rsidP="00082418">
            <w:pPr>
              <w:spacing w:line="240" w:lineRule="auto"/>
              <w:jc w:val="right"/>
              <w:rPr>
                <w:sz w:val="20"/>
              </w:rPr>
            </w:pPr>
            <w:r w:rsidRPr="00082418">
              <w:rPr>
                <w:sz w:val="20"/>
              </w:rPr>
              <w:t>305</w:t>
            </w:r>
          </w:p>
        </w:tc>
        <w:tc>
          <w:tcPr>
            <w:tcW w:w="1170" w:type="dxa"/>
          </w:tcPr>
          <w:p w:rsidR="00E0754B" w:rsidRPr="00082418" w:rsidRDefault="00E0754B" w:rsidP="00082418">
            <w:pPr>
              <w:spacing w:line="240" w:lineRule="auto"/>
              <w:jc w:val="right"/>
              <w:rPr>
                <w:sz w:val="20"/>
              </w:rPr>
            </w:pPr>
            <w:r w:rsidRPr="00082418">
              <w:rPr>
                <w:sz w:val="20"/>
              </w:rPr>
              <w:t>29.721</w:t>
            </w:r>
          </w:p>
        </w:tc>
        <w:tc>
          <w:tcPr>
            <w:tcW w:w="990" w:type="dxa"/>
          </w:tcPr>
          <w:p w:rsidR="00E0754B" w:rsidRPr="00082418" w:rsidRDefault="00E0754B" w:rsidP="00082418">
            <w:pPr>
              <w:spacing w:line="240" w:lineRule="auto"/>
              <w:jc w:val="right"/>
              <w:rPr>
                <w:sz w:val="20"/>
              </w:rPr>
            </w:pPr>
            <w:r w:rsidRPr="00082418">
              <w:rPr>
                <w:sz w:val="20"/>
              </w:rPr>
              <w:t>1%</w:t>
            </w:r>
          </w:p>
        </w:tc>
      </w:tr>
      <w:tr w:rsidR="00E0754B" w:rsidRPr="00082418" w:rsidTr="00082418">
        <w:trPr>
          <w:jc w:val="center"/>
        </w:trPr>
        <w:tc>
          <w:tcPr>
            <w:tcW w:w="1874" w:type="dxa"/>
          </w:tcPr>
          <w:p w:rsidR="00E0754B" w:rsidRPr="00082418" w:rsidRDefault="00E0754B" w:rsidP="00082418">
            <w:pPr>
              <w:spacing w:line="240" w:lineRule="auto"/>
              <w:rPr>
                <w:sz w:val="20"/>
              </w:rPr>
            </w:pPr>
            <w:r w:rsidRPr="00082418">
              <w:rPr>
                <w:sz w:val="20"/>
              </w:rPr>
              <w:t xml:space="preserve">ΕΣΠΑ 2007-2013 </w:t>
            </w:r>
          </w:p>
        </w:tc>
        <w:tc>
          <w:tcPr>
            <w:tcW w:w="3364" w:type="dxa"/>
          </w:tcPr>
          <w:p w:rsidR="00E0754B" w:rsidRPr="00082418" w:rsidRDefault="00E0754B" w:rsidP="00082418">
            <w:pPr>
              <w:spacing w:line="240" w:lineRule="auto"/>
              <w:jc w:val="left"/>
              <w:rPr>
                <w:sz w:val="20"/>
              </w:rPr>
            </w:pPr>
            <w:r w:rsidRPr="00082418">
              <w:rPr>
                <w:sz w:val="20"/>
              </w:rPr>
              <w:t>Βελτίωση διοικητικής ικανότητας δημόσιας διοίκησης</w:t>
            </w:r>
          </w:p>
        </w:tc>
        <w:tc>
          <w:tcPr>
            <w:tcW w:w="1080" w:type="dxa"/>
          </w:tcPr>
          <w:p w:rsidR="00E0754B" w:rsidRPr="00082418" w:rsidRDefault="00E0754B" w:rsidP="00082418">
            <w:pPr>
              <w:spacing w:line="240" w:lineRule="auto"/>
              <w:jc w:val="right"/>
              <w:rPr>
                <w:sz w:val="20"/>
              </w:rPr>
            </w:pPr>
            <w:r w:rsidRPr="00082418">
              <w:rPr>
                <w:sz w:val="20"/>
              </w:rPr>
              <w:t>505</w:t>
            </w:r>
          </w:p>
        </w:tc>
        <w:tc>
          <w:tcPr>
            <w:tcW w:w="1170" w:type="dxa"/>
          </w:tcPr>
          <w:p w:rsidR="00E0754B" w:rsidRPr="00082418" w:rsidRDefault="00E0754B" w:rsidP="00082418">
            <w:pPr>
              <w:spacing w:line="240" w:lineRule="auto"/>
              <w:jc w:val="right"/>
              <w:rPr>
                <w:sz w:val="20"/>
              </w:rPr>
            </w:pPr>
            <w:r w:rsidRPr="00082418">
              <w:rPr>
                <w:sz w:val="20"/>
              </w:rPr>
              <w:t>20.420</w:t>
            </w:r>
          </w:p>
        </w:tc>
        <w:tc>
          <w:tcPr>
            <w:tcW w:w="990" w:type="dxa"/>
          </w:tcPr>
          <w:p w:rsidR="00E0754B" w:rsidRPr="00082418" w:rsidRDefault="00E0754B" w:rsidP="00082418">
            <w:pPr>
              <w:spacing w:line="240" w:lineRule="auto"/>
              <w:jc w:val="right"/>
              <w:rPr>
                <w:sz w:val="20"/>
              </w:rPr>
            </w:pPr>
            <w:r w:rsidRPr="00082418">
              <w:rPr>
                <w:sz w:val="20"/>
              </w:rPr>
              <w:t>2,5%</w:t>
            </w:r>
          </w:p>
        </w:tc>
      </w:tr>
      <w:tr w:rsidR="00E0754B" w:rsidRPr="00082418" w:rsidTr="00082418">
        <w:trPr>
          <w:jc w:val="center"/>
        </w:trPr>
        <w:tc>
          <w:tcPr>
            <w:tcW w:w="1874" w:type="dxa"/>
            <w:tcBorders>
              <w:bottom w:val="single" w:sz="4" w:space="0" w:color="000000"/>
            </w:tcBorders>
          </w:tcPr>
          <w:p w:rsidR="00E0754B" w:rsidRPr="00082418" w:rsidRDefault="00E0754B" w:rsidP="00082418">
            <w:pPr>
              <w:spacing w:line="240" w:lineRule="auto"/>
              <w:rPr>
                <w:sz w:val="20"/>
              </w:rPr>
            </w:pPr>
            <w:r w:rsidRPr="00082418">
              <w:rPr>
                <w:sz w:val="20"/>
              </w:rPr>
              <w:t xml:space="preserve">ΕΣΠΑ 2014-2020 </w:t>
            </w:r>
          </w:p>
        </w:tc>
        <w:tc>
          <w:tcPr>
            <w:tcW w:w="3364" w:type="dxa"/>
            <w:tcBorders>
              <w:bottom w:val="single" w:sz="4" w:space="0" w:color="000000"/>
            </w:tcBorders>
          </w:tcPr>
          <w:p w:rsidR="00E0754B" w:rsidRPr="00082418" w:rsidRDefault="00E0754B" w:rsidP="00082418">
            <w:pPr>
              <w:spacing w:line="240" w:lineRule="auto"/>
              <w:jc w:val="left"/>
              <w:rPr>
                <w:sz w:val="20"/>
              </w:rPr>
            </w:pPr>
            <w:r w:rsidRPr="00082418">
              <w:rPr>
                <w:sz w:val="20"/>
              </w:rPr>
              <w:t>Μεταρρύθμιση δημόσιου τομέα</w:t>
            </w:r>
          </w:p>
        </w:tc>
        <w:tc>
          <w:tcPr>
            <w:tcW w:w="1080" w:type="dxa"/>
            <w:tcBorders>
              <w:bottom w:val="single" w:sz="4" w:space="0" w:color="000000"/>
            </w:tcBorders>
          </w:tcPr>
          <w:p w:rsidR="00E0754B" w:rsidRPr="00082418" w:rsidRDefault="00E0754B" w:rsidP="00082418">
            <w:pPr>
              <w:spacing w:line="240" w:lineRule="auto"/>
              <w:jc w:val="right"/>
              <w:rPr>
                <w:sz w:val="20"/>
              </w:rPr>
            </w:pPr>
            <w:r w:rsidRPr="00082418">
              <w:rPr>
                <w:sz w:val="20"/>
              </w:rPr>
              <w:t>487</w:t>
            </w:r>
          </w:p>
        </w:tc>
        <w:tc>
          <w:tcPr>
            <w:tcW w:w="1170" w:type="dxa"/>
            <w:tcBorders>
              <w:bottom w:val="single" w:sz="4" w:space="0" w:color="000000"/>
            </w:tcBorders>
          </w:tcPr>
          <w:p w:rsidR="00E0754B" w:rsidRPr="00082418" w:rsidRDefault="00E0754B" w:rsidP="00082418">
            <w:pPr>
              <w:spacing w:line="240" w:lineRule="auto"/>
              <w:jc w:val="right"/>
              <w:rPr>
                <w:sz w:val="20"/>
              </w:rPr>
            </w:pPr>
            <w:r w:rsidRPr="00082418">
              <w:rPr>
                <w:sz w:val="20"/>
              </w:rPr>
              <w:t>25.565**</w:t>
            </w:r>
          </w:p>
        </w:tc>
        <w:tc>
          <w:tcPr>
            <w:tcW w:w="990" w:type="dxa"/>
            <w:tcBorders>
              <w:bottom w:val="single" w:sz="4" w:space="0" w:color="000000"/>
            </w:tcBorders>
          </w:tcPr>
          <w:p w:rsidR="00E0754B" w:rsidRPr="00082418" w:rsidRDefault="00E0754B" w:rsidP="00082418">
            <w:pPr>
              <w:spacing w:line="240" w:lineRule="auto"/>
              <w:jc w:val="right"/>
              <w:rPr>
                <w:sz w:val="20"/>
              </w:rPr>
            </w:pPr>
            <w:r w:rsidRPr="00082418">
              <w:rPr>
                <w:sz w:val="20"/>
              </w:rPr>
              <w:t>1,9%</w:t>
            </w:r>
          </w:p>
        </w:tc>
      </w:tr>
      <w:tr w:rsidR="00E0754B" w:rsidRPr="00082418" w:rsidTr="00082418">
        <w:trPr>
          <w:jc w:val="center"/>
        </w:trPr>
        <w:tc>
          <w:tcPr>
            <w:tcW w:w="1874" w:type="dxa"/>
            <w:tcBorders>
              <w:top w:val="single" w:sz="4" w:space="0" w:color="000000"/>
              <w:bottom w:val="single" w:sz="4" w:space="0" w:color="000000"/>
            </w:tcBorders>
          </w:tcPr>
          <w:p w:rsidR="00E0754B" w:rsidRPr="00082418" w:rsidRDefault="00E0754B" w:rsidP="00082418">
            <w:pPr>
              <w:spacing w:line="240" w:lineRule="auto"/>
              <w:rPr>
                <w:sz w:val="20"/>
              </w:rPr>
            </w:pPr>
            <w:r w:rsidRPr="00082418">
              <w:rPr>
                <w:sz w:val="20"/>
              </w:rPr>
              <w:t>Σύνολο</w:t>
            </w:r>
          </w:p>
        </w:tc>
        <w:tc>
          <w:tcPr>
            <w:tcW w:w="3364" w:type="dxa"/>
            <w:tcBorders>
              <w:top w:val="single" w:sz="4" w:space="0" w:color="000000"/>
              <w:bottom w:val="single" w:sz="4" w:space="0" w:color="000000"/>
            </w:tcBorders>
          </w:tcPr>
          <w:p w:rsidR="00E0754B" w:rsidRPr="00082418" w:rsidRDefault="00E0754B" w:rsidP="00082418">
            <w:pPr>
              <w:spacing w:line="240" w:lineRule="auto"/>
              <w:rPr>
                <w:sz w:val="20"/>
              </w:rPr>
            </w:pPr>
          </w:p>
        </w:tc>
        <w:tc>
          <w:tcPr>
            <w:tcW w:w="1080" w:type="dxa"/>
            <w:tcBorders>
              <w:top w:val="single" w:sz="4" w:space="0" w:color="000000"/>
              <w:bottom w:val="single" w:sz="4" w:space="0" w:color="000000"/>
            </w:tcBorders>
          </w:tcPr>
          <w:p w:rsidR="00E0754B" w:rsidRPr="00082418" w:rsidRDefault="00E0754B" w:rsidP="00082418">
            <w:pPr>
              <w:spacing w:line="240" w:lineRule="auto"/>
              <w:jc w:val="right"/>
              <w:rPr>
                <w:sz w:val="20"/>
              </w:rPr>
            </w:pPr>
            <w:r w:rsidRPr="00082418">
              <w:rPr>
                <w:sz w:val="20"/>
              </w:rPr>
              <w:t>1.297</w:t>
            </w:r>
          </w:p>
        </w:tc>
        <w:tc>
          <w:tcPr>
            <w:tcW w:w="1170" w:type="dxa"/>
            <w:tcBorders>
              <w:top w:val="single" w:sz="4" w:space="0" w:color="000000"/>
              <w:bottom w:val="single" w:sz="4" w:space="0" w:color="000000"/>
            </w:tcBorders>
          </w:tcPr>
          <w:p w:rsidR="00E0754B" w:rsidRPr="00082418" w:rsidRDefault="00E0754B" w:rsidP="00082418">
            <w:pPr>
              <w:spacing w:line="240" w:lineRule="auto"/>
              <w:jc w:val="right"/>
              <w:rPr>
                <w:sz w:val="20"/>
              </w:rPr>
            </w:pPr>
            <w:r w:rsidRPr="00082418">
              <w:rPr>
                <w:sz w:val="20"/>
              </w:rPr>
              <w:t>131.955</w:t>
            </w:r>
          </w:p>
        </w:tc>
        <w:tc>
          <w:tcPr>
            <w:tcW w:w="990" w:type="dxa"/>
            <w:tcBorders>
              <w:top w:val="single" w:sz="4" w:space="0" w:color="000000"/>
              <w:bottom w:val="single" w:sz="4" w:space="0" w:color="000000"/>
            </w:tcBorders>
          </w:tcPr>
          <w:p w:rsidR="00E0754B" w:rsidRPr="00082418" w:rsidRDefault="00E0754B" w:rsidP="00082418">
            <w:pPr>
              <w:spacing w:line="240" w:lineRule="auto"/>
              <w:jc w:val="right"/>
              <w:rPr>
                <w:sz w:val="20"/>
              </w:rPr>
            </w:pPr>
            <w:r w:rsidRPr="00082418">
              <w:rPr>
                <w:sz w:val="20"/>
              </w:rPr>
              <w:t>~1%</w:t>
            </w:r>
          </w:p>
        </w:tc>
      </w:tr>
    </w:tbl>
    <w:p w:rsidR="00E0754B" w:rsidRDefault="00E0754B" w:rsidP="004D27AF">
      <w:pPr>
        <w:spacing w:line="240" w:lineRule="auto"/>
        <w:ind w:left="284"/>
      </w:pPr>
      <w:r>
        <w:rPr>
          <w:sz w:val="20"/>
        </w:rPr>
        <w:t>Πηγές</w:t>
      </w:r>
      <w:r w:rsidRPr="007624F9">
        <w:rPr>
          <w:sz w:val="20"/>
        </w:rPr>
        <w:t>: Τράπεζα της Ελλάδος (2001)</w:t>
      </w:r>
      <w:r>
        <w:sym w:font="Wingdings" w:char="F09E"/>
      </w:r>
      <w:r w:rsidRPr="007624F9">
        <w:rPr>
          <w:sz w:val="20"/>
        </w:rPr>
        <w:t xml:space="preserve"> Λώλος (2001</w:t>
      </w:r>
      <w:r>
        <w:rPr>
          <w:sz w:val="20"/>
        </w:rPr>
        <w:t>, σ. 40</w:t>
      </w:r>
      <w:r w:rsidRPr="006F7EC9">
        <w:rPr>
          <w:sz w:val="20"/>
        </w:rPr>
        <w:t>)</w:t>
      </w:r>
      <w:r w:rsidRPr="006F7EC9">
        <w:sym w:font="Wingdings" w:char="F09E"/>
      </w:r>
      <w:r w:rsidRPr="006F7EC9">
        <w:rPr>
          <w:sz w:val="20"/>
        </w:rPr>
        <w:t xml:space="preserve"> Υπουργείο Οικονομίας και Οικονομικών (2007)</w:t>
      </w:r>
      <w:r w:rsidRPr="006F7EC9">
        <w:sym w:font="Wingdings" w:char="F09E"/>
      </w:r>
      <w:r w:rsidRPr="006F7EC9">
        <w:rPr>
          <w:sz w:val="20"/>
        </w:rPr>
        <w:t xml:space="preserve"> </w:t>
      </w:r>
      <w:r w:rsidRPr="006F7EC9">
        <w:rPr>
          <w:sz w:val="20"/>
          <w:lang w:val="en-US"/>
        </w:rPr>
        <w:t>www</w:t>
      </w:r>
      <w:r w:rsidRPr="006F7EC9">
        <w:rPr>
          <w:sz w:val="20"/>
        </w:rPr>
        <w:t>.</w:t>
      </w:r>
      <w:r w:rsidRPr="006F7EC9">
        <w:rPr>
          <w:sz w:val="20"/>
          <w:lang w:val="en-US"/>
        </w:rPr>
        <w:t>espa</w:t>
      </w:r>
      <w:r w:rsidRPr="006F7EC9">
        <w:rPr>
          <w:sz w:val="20"/>
        </w:rPr>
        <w:t>.</w:t>
      </w:r>
      <w:r w:rsidRPr="006F7EC9">
        <w:rPr>
          <w:sz w:val="20"/>
          <w:lang w:val="en-US"/>
        </w:rPr>
        <w:t>gr</w:t>
      </w:r>
      <w:r w:rsidRPr="006F7EC9">
        <w:rPr>
          <w:sz w:val="20"/>
        </w:rPr>
        <w:t xml:space="preserve"> (πρόσβαση: 30 Σεπτεμβρίου 2017)</w:t>
      </w:r>
      <w:r w:rsidRPr="006F7EC9">
        <w:sym w:font="Wingdings" w:char="F09E"/>
      </w:r>
      <w:r w:rsidRPr="006F7EC9">
        <w:rPr>
          <w:sz w:val="20"/>
        </w:rPr>
        <w:t xml:space="preserve"> Ευρωπαϊκό</w:t>
      </w:r>
      <w:r w:rsidRPr="000D6C53">
        <w:rPr>
          <w:sz w:val="20"/>
        </w:rPr>
        <w:t xml:space="preserve"> Ελεγκτικό Συνέδριο, ειδική έκθεση για τα ΜΟΠ αριθμ. 4/90. *Εκατ. ευρώ, τρέχουσες τιμές, (1 </w:t>
      </w:r>
      <w:r w:rsidRPr="000D6C53">
        <w:rPr>
          <w:sz w:val="20"/>
          <w:lang w:val="en-US"/>
        </w:rPr>
        <w:t>ECU</w:t>
      </w:r>
      <w:r w:rsidRPr="000D6C53">
        <w:rPr>
          <w:sz w:val="20"/>
        </w:rPr>
        <w:t>=1 ευρώ). **Δημόσια δαπάνη</w:t>
      </w:r>
      <w:r w:rsidRPr="005A6037">
        <w:rPr>
          <w:sz w:val="20"/>
        </w:rPr>
        <w:t>.</w:t>
      </w:r>
    </w:p>
    <w:p w:rsidR="00E0754B" w:rsidRDefault="00E0754B" w:rsidP="004D27AF">
      <w:pPr>
        <w:spacing w:line="288" w:lineRule="auto"/>
      </w:pPr>
    </w:p>
    <w:p w:rsidR="00E0754B" w:rsidRDefault="00E0754B" w:rsidP="004D27AF">
      <w:pPr>
        <w:spacing w:line="288" w:lineRule="auto"/>
      </w:pPr>
      <w:r>
        <w:t>Η αμιγώς οικονομική συμβολή της Ε.Ε. στον εκσυγχρονισμό της δημόσιας διοίκησης υποδηλώνει ότι η προσφορά ευρωπαϊκών χρηματοδοτικών πόρων (άνευ κόστους κεφαλαίου</w:t>
      </w:r>
      <w:r>
        <w:rPr>
          <w:rStyle w:val="FootnoteReference"/>
        </w:rPr>
        <w:footnoteReference w:id="37"/>
      </w:r>
      <w:r>
        <w:t>) λειτούργησε ως κίνητρο ενθάρρυνσης μεταρρυθμιστικών πρωτοβουλιών,</w:t>
      </w:r>
      <w:r w:rsidRPr="00E737D3">
        <w:t xml:space="preserve"> </w:t>
      </w:r>
      <w:r>
        <w:t>συμπληρωματικά προς τις πιέσεις για θεσμικές και λειτουργικές προσαρμογές</w:t>
      </w:r>
      <w:r>
        <w:rPr>
          <w:rStyle w:val="FootnoteReference"/>
        </w:rPr>
        <w:footnoteReference w:id="38"/>
      </w:r>
      <w:r>
        <w:t>. Ουσιαστικά η διάθεση ευρωπαϊκών κονδυλίων αύξανε την πίεση στο εγχώριο πεδίο για αναβάθμιση της διοικητικής ικανότητας της ελληνικής δημόσιας διοίκησης προκειμένου οι χρηματοδοτικές ευκαιρίες της Ε.Ε. να μην μείνουν ανεκμετάλλευτες</w:t>
      </w:r>
      <w:r>
        <w:rPr>
          <w:rStyle w:val="FootnoteReference"/>
        </w:rPr>
        <w:footnoteReference w:id="39"/>
      </w:r>
      <w:r>
        <w:t>.</w:t>
      </w:r>
    </w:p>
    <w:p w:rsidR="00E0754B" w:rsidRDefault="00E0754B" w:rsidP="00731484">
      <w:pPr>
        <w:spacing w:line="288" w:lineRule="auto"/>
      </w:pPr>
    </w:p>
    <w:p w:rsidR="00E0754B" w:rsidRDefault="00E0754B" w:rsidP="00731484">
      <w:pPr>
        <w:spacing w:line="288" w:lineRule="auto"/>
      </w:pPr>
    </w:p>
    <w:p w:rsidR="00E0754B" w:rsidRPr="0010377E" w:rsidRDefault="00E0754B" w:rsidP="0099500C">
      <w:pPr>
        <w:pStyle w:val="Heading1"/>
      </w:pPr>
      <w:bookmarkStart w:id="8" w:name="_Toc497685938"/>
      <w:r>
        <w:t xml:space="preserve">4.1. </w:t>
      </w:r>
      <w:r w:rsidRPr="0010377E">
        <w:t xml:space="preserve">Η </w:t>
      </w:r>
      <w:r>
        <w:t>περίοδος της «οικονομικής ευπάθειας» της Ελλάδας και η επίδραση της Ε.Ε.</w:t>
      </w:r>
      <w:bookmarkEnd w:id="8"/>
      <w:r>
        <w:t xml:space="preserve"> </w:t>
      </w:r>
    </w:p>
    <w:p w:rsidR="00E0754B" w:rsidRDefault="00E0754B" w:rsidP="00731484">
      <w:pPr>
        <w:spacing w:line="288" w:lineRule="auto"/>
      </w:pPr>
      <w:r>
        <w:t>Παρά τους διοικητικούς μετασχηματισμούς που είχαν προωθηθεί από την ένταξη της χώρας στην Ε.Ε. και έπειτα, οι προδιαγραφές συγκρότησης μιας δημόσιας διοίκησης: α) αυστηρά επαγγελματικής με κυρίαρχο κριτήριο την αξιοκρατία στην πρόσληψη και στη σταδιοδρομία του προσωπικού, β) με διαδικασίες που εστιάζουν στο αποτέλεσμα και ελαχιστοποιούν τον απαιτούμενο χρόνο απασχόλησης πολιτών και διοικητικού μηχανισμού, γ) με δομές που ανταποκρίνονται σε κοινωνικές ανάγκες και υφίστανται με όρους παραγωγικής και κατανεμητικής αποτελεσματικότητας</w:t>
      </w:r>
      <w:r>
        <w:rPr>
          <w:rStyle w:val="FootnoteReference"/>
        </w:rPr>
        <w:footnoteReference w:id="40"/>
      </w:r>
      <w:r>
        <w:t>, δεν είχαν ικανοποιηθεί. Η εκδήλωση της ισχυρότερης μεταπολεμικά δημοσιονομικής κρίσης και συρρίκνωσης της οικονομίας (2009 και έπειτα) πολλαπλασίασε με εκθετικό ρυθμό την πίεση για εξορθολογισμό της διοίκησης. Η χορήγηση υψηλότατων δανείων για τη διάσωση της ελληνικής οικονομίας συνοδεύτηκε από μνημόνια χρηματοοικονομικής συνεργασίας τα οποία περιείχαν όρους και προαπαιτούμενα μέτρα</w:t>
      </w:r>
      <w:r>
        <w:rPr>
          <w:rStyle w:val="FootnoteReference"/>
        </w:rPr>
        <w:footnoteReference w:id="41"/>
      </w:r>
      <w:r>
        <w:t xml:space="preserve"> με εκτεταμένες παρεμβάσεις και στο διοικητικό πεδίο. Η Ε.Ε., παρ’ ότι δεν ήταν ο μοναδικός αντισυμβαλλόμενος εταίρος της Ελλάδας, συμμετείχε ενεργά στα προγράμματα διάσωσης</w:t>
      </w:r>
      <w:r>
        <w:rPr>
          <w:rStyle w:val="FootnoteReference"/>
        </w:rPr>
        <w:footnoteReference w:id="42"/>
      </w:r>
      <w:r>
        <w:t>. Εν προκειμένω, η «οικονομική ευπάθεια» (</w:t>
      </w:r>
      <w:r>
        <w:rPr>
          <w:lang w:val="en-US"/>
        </w:rPr>
        <w:t>economic</w:t>
      </w:r>
      <w:r w:rsidRPr="0006534C">
        <w:t xml:space="preserve"> </w:t>
      </w:r>
      <w:r>
        <w:rPr>
          <w:lang w:val="en-US"/>
        </w:rPr>
        <w:t>vulnerability</w:t>
      </w:r>
      <w:r>
        <w:t>) της χώρας συνιστά έναν ειδικότερο μεσολαβητικό παράγοντα (</w:t>
      </w:r>
      <w:r>
        <w:rPr>
          <w:lang w:val="en-US"/>
        </w:rPr>
        <w:t>Schmidt</w:t>
      </w:r>
      <w:r>
        <w:t xml:space="preserve">, </w:t>
      </w:r>
      <w:r w:rsidRPr="00E7165E">
        <w:t>2002)</w:t>
      </w:r>
      <w:r>
        <w:t xml:space="preserve"> που ερμηνεύει τη χρονική στιγμή, το λόγο και τον τρόπο με το οποίο η δημόσια πολιτική για τη δημόσια διοίκηση έλαβε απολύτως εξαναγκαστικό χαρακτήρα. Ο εξαναγκασμός συνίσταται στην ύπαρξη προαπαιτούμενων όρων για αλλαγές στη δημόσια διοίκηση. Η μη υλοποίηση των όρων συνδέθηκε με τη διακοπή της χρηματοδότησης της χώρας με άμεσο κίνδυνο την κήρυξη στάσης πληρωμών. </w:t>
      </w:r>
    </w:p>
    <w:p w:rsidR="00E0754B" w:rsidRDefault="00E0754B" w:rsidP="00731484">
      <w:pPr>
        <w:spacing w:line="288" w:lineRule="auto"/>
      </w:pPr>
    </w:p>
    <w:p w:rsidR="00E0754B" w:rsidRDefault="00E0754B" w:rsidP="00731484">
      <w:pPr>
        <w:spacing w:line="288" w:lineRule="auto"/>
      </w:pPr>
      <w:r>
        <w:t>Έτσι, στο πλαίσιο των μνημονιακών υποχρεώσεων, η δημόσια διοίκηση, σε όλα τα επίπεδα (κεντρικό, αποσυγκεντρωμένο, αυτοδιοικητικό), αποτέλεσε κομβικό πεδίο αλλαγών. Στην επικουρία των μεταρρυθμιστικών προσπαθειών συνέδραμαν εμπειρογνώμονες της Ε.Ε. αναλαμβάνοντας την παροχή συμβουλευτικών υπηρεσιών, εκδίδοντας εκθέσεις προόδου</w:t>
      </w:r>
      <w:r>
        <w:rPr>
          <w:rStyle w:val="FootnoteReference"/>
        </w:rPr>
        <w:t xml:space="preserve"> </w:t>
      </w:r>
      <w:r>
        <w:rPr>
          <w:rStyle w:val="FootnoteReference"/>
        </w:rPr>
        <w:footnoteReference w:id="43"/>
      </w:r>
      <w:r>
        <w:t>. Εν προκειμένω, επιχειρήθηκε μεταφορά πολιτικής, δηλαδή εισαγωγή τεχνογνωσίας για τις επιχειρούμενες μεταβολές. Σε επιχειρησιακό επίπεδο, λήφθηκαν μέτρα αναγκαστικής προσαρμογής που άγγιξαν οριζόντια το σύνολο των διοικητικών θεσμών, έχοντας ως κυρίαρχο στόχο τον δραστικό περιορισμό των δαπανών</w:t>
      </w:r>
      <w:r>
        <w:rPr>
          <w:rStyle w:val="FootnoteReference"/>
        </w:rPr>
        <w:footnoteReference w:id="44"/>
      </w:r>
      <w:r>
        <w:t>. Η</w:t>
      </w:r>
      <w:r w:rsidRPr="00D25DA6">
        <w:t xml:space="preserve"> επίτευξη </w:t>
      </w:r>
      <w:r>
        <w:t>ποσοτικών στόχων σ</w:t>
      </w:r>
      <w:r w:rsidRPr="00D25DA6">
        <w:t xml:space="preserve">υνδέθηκε ευθέως με την εκταμίευση δόσεων για την κάλυψη των </w:t>
      </w:r>
      <w:r>
        <w:t>δημοσιονομικών</w:t>
      </w:r>
      <w:r w:rsidRPr="00D25DA6">
        <w:t xml:space="preserve"> αναγκών του κράτους</w:t>
      </w:r>
      <w:r>
        <w:t>. Ενδεικτικά</w:t>
      </w:r>
      <w:r>
        <w:rPr>
          <w:rStyle w:val="FootnoteReference"/>
        </w:rPr>
        <w:footnoteReference w:id="45"/>
      </w:r>
      <w:r>
        <w:t xml:space="preserve">, στο πεδίο του ανθρώπινου δυναμικού προωθήθηκαν μέτρα </w:t>
      </w:r>
      <w:r w:rsidRPr="002B2CA0">
        <w:rPr>
          <w:rFonts w:cs="Calibri"/>
          <w:szCs w:val="23"/>
        </w:rPr>
        <w:t>μείωση</w:t>
      </w:r>
      <w:r>
        <w:rPr>
          <w:rFonts w:cs="Calibri"/>
          <w:szCs w:val="23"/>
        </w:rPr>
        <w:t>ς</w:t>
      </w:r>
      <w:r w:rsidRPr="002B2CA0">
        <w:rPr>
          <w:rFonts w:cs="Calibri"/>
          <w:szCs w:val="23"/>
        </w:rPr>
        <w:t xml:space="preserve"> αμοιβών, κανόνες προσλήψεων-αποχωρήσεων, νέο βαθμολόγιο και ενιαίο μισθολόγιο</w:t>
      </w:r>
      <w:r>
        <w:t xml:space="preserve">, μέτρα </w:t>
      </w:r>
      <w:r>
        <w:rPr>
          <w:rFonts w:cs="Calibri"/>
          <w:szCs w:val="23"/>
        </w:rPr>
        <w:t xml:space="preserve">εφεδρείας, </w:t>
      </w:r>
      <w:r w:rsidRPr="002B2CA0">
        <w:rPr>
          <w:rFonts w:cs="Calibri"/>
          <w:szCs w:val="23"/>
        </w:rPr>
        <w:t>διαθεσιμότητας-κινητικότητας</w:t>
      </w:r>
      <w:r>
        <w:t xml:space="preserve"> και αξιολόγησης, ανακατανομή θέσεων και κατάργηση κατηγοριών </w:t>
      </w:r>
      <w:r>
        <w:rPr>
          <w:rFonts w:cs="Calibri"/>
          <w:szCs w:val="23"/>
        </w:rPr>
        <w:t>προσωπικού</w:t>
      </w:r>
      <w:r>
        <w:t>. Οργανωτικά, επιδιώχθηκε ο εξορθολογισμός των διοικητικών θεσμών με την κατάρτιση νέων οργανισμών</w:t>
      </w:r>
      <w:r w:rsidRPr="003E6B2F">
        <w:rPr>
          <w:rFonts w:cs="Calibri"/>
          <w:szCs w:val="23"/>
        </w:rPr>
        <w:t xml:space="preserve"> </w:t>
      </w:r>
      <w:r>
        <w:rPr>
          <w:rFonts w:cs="Calibri"/>
          <w:szCs w:val="23"/>
        </w:rPr>
        <w:t>στα υπουργεία, την ίδρυση Γ</w:t>
      </w:r>
      <w:r w:rsidRPr="002B2CA0">
        <w:rPr>
          <w:rFonts w:cs="Calibri"/>
          <w:szCs w:val="23"/>
        </w:rPr>
        <w:t>ενική</w:t>
      </w:r>
      <w:r>
        <w:rPr>
          <w:rFonts w:cs="Calibri"/>
          <w:szCs w:val="23"/>
        </w:rPr>
        <w:t>ς</w:t>
      </w:r>
      <w:r w:rsidRPr="002B2CA0">
        <w:rPr>
          <w:rFonts w:cs="Calibri"/>
          <w:szCs w:val="23"/>
        </w:rPr>
        <w:t xml:space="preserve"> </w:t>
      </w:r>
      <w:r>
        <w:rPr>
          <w:rFonts w:cs="Calibri"/>
          <w:szCs w:val="23"/>
        </w:rPr>
        <w:t>Γ</w:t>
      </w:r>
      <w:r w:rsidRPr="002B2CA0">
        <w:rPr>
          <w:rFonts w:cs="Calibri"/>
          <w:szCs w:val="23"/>
        </w:rPr>
        <w:t>ραμματεία</w:t>
      </w:r>
      <w:r>
        <w:rPr>
          <w:rFonts w:cs="Calibri"/>
          <w:szCs w:val="23"/>
        </w:rPr>
        <w:t>ς</w:t>
      </w:r>
      <w:r w:rsidRPr="002B2CA0">
        <w:rPr>
          <w:rFonts w:cs="Calibri"/>
          <w:szCs w:val="23"/>
        </w:rPr>
        <w:t xml:space="preserve"> </w:t>
      </w:r>
      <w:r>
        <w:rPr>
          <w:rFonts w:cs="Calibri"/>
          <w:szCs w:val="23"/>
        </w:rPr>
        <w:t>Σ</w:t>
      </w:r>
      <w:r w:rsidRPr="002B2CA0">
        <w:rPr>
          <w:rFonts w:cs="Calibri"/>
          <w:szCs w:val="23"/>
        </w:rPr>
        <w:t xml:space="preserve">υντονισμού </w:t>
      </w:r>
      <w:r>
        <w:rPr>
          <w:rFonts w:cs="Calibri"/>
          <w:szCs w:val="23"/>
        </w:rPr>
        <w:t>του Κ</w:t>
      </w:r>
      <w:r w:rsidRPr="002B2CA0">
        <w:rPr>
          <w:rFonts w:cs="Calibri"/>
          <w:szCs w:val="23"/>
        </w:rPr>
        <w:t xml:space="preserve">υβερνητικού </w:t>
      </w:r>
      <w:r>
        <w:rPr>
          <w:rFonts w:cs="Calibri"/>
          <w:szCs w:val="23"/>
        </w:rPr>
        <w:t>Έ</w:t>
      </w:r>
      <w:r w:rsidRPr="002B2CA0">
        <w:rPr>
          <w:rFonts w:cs="Calibri"/>
          <w:szCs w:val="23"/>
        </w:rPr>
        <w:t>ργου</w:t>
      </w:r>
      <w:r>
        <w:rPr>
          <w:rFonts w:cs="Calibri"/>
          <w:szCs w:val="23"/>
        </w:rPr>
        <w:t>,</w:t>
      </w:r>
      <w:r w:rsidRPr="003E6B2F">
        <w:rPr>
          <w:rFonts w:cs="Calibri"/>
          <w:szCs w:val="23"/>
        </w:rPr>
        <w:t xml:space="preserve"> </w:t>
      </w:r>
      <w:r>
        <w:rPr>
          <w:rFonts w:cs="Calibri"/>
          <w:szCs w:val="23"/>
        </w:rPr>
        <w:t xml:space="preserve">ενώ υπήρξαν συγχωνεύσεις και </w:t>
      </w:r>
      <w:r w:rsidRPr="002B2CA0">
        <w:rPr>
          <w:rFonts w:cs="Calibri"/>
          <w:szCs w:val="23"/>
        </w:rPr>
        <w:t>καταργήσεις νομικών προσώπων.</w:t>
      </w:r>
      <w:r>
        <w:rPr>
          <w:rFonts w:cs="Calibri"/>
          <w:szCs w:val="23"/>
        </w:rPr>
        <w:t xml:space="preserve"> Λειτουργικά, </w:t>
      </w:r>
      <w:r w:rsidRPr="002B2CA0">
        <w:rPr>
          <w:rFonts w:cs="Calibri"/>
          <w:szCs w:val="23"/>
        </w:rPr>
        <w:t>προωθήθηκε</w:t>
      </w:r>
      <w:r w:rsidRPr="003E6B2F">
        <w:rPr>
          <w:rFonts w:cs="Calibri"/>
          <w:szCs w:val="23"/>
        </w:rPr>
        <w:t xml:space="preserve"> </w:t>
      </w:r>
      <w:r>
        <w:rPr>
          <w:rFonts w:cs="Calibri"/>
          <w:szCs w:val="23"/>
        </w:rPr>
        <w:t>η καλή νομοθέτηση, η ηλεκτρονική διακυβέρνηση και η απλούστευση διαδικασιών. Τέλος, ενισχύθηκαν ο</w:t>
      </w:r>
      <w:r>
        <w:t>ι οικονομικές λειτουργίες του κράτους με την αυτονόμηση συναφών θεσμών οικονομικής διοίκησης</w:t>
      </w:r>
      <w:r>
        <w:rPr>
          <w:rStyle w:val="FootnoteReference"/>
        </w:rPr>
        <w:footnoteReference w:id="46"/>
      </w:r>
      <w:r>
        <w:t xml:space="preserve"> και τη </w:t>
      </w:r>
      <w:r>
        <w:rPr>
          <w:rFonts w:cs="Calibri"/>
          <w:szCs w:val="23"/>
        </w:rPr>
        <w:t>θέσπιση δημοσιονομικών κανόνων</w:t>
      </w:r>
      <w:r w:rsidRPr="00D25DA6">
        <w:t>.</w:t>
      </w:r>
      <w:r>
        <w:t xml:space="preserve"> Συναφώς, τα οικονομικά της αυτοδιοίκησης αποτέλεσαν πεδίο αυστηρότερης εποπτείας. Ο πίνακας 2 συνοψίζει τη συζήτηση σχετικά με τους μετασχηματισμούς στη δημόσια διοίκηση και τις επιμέρους αναφορές στο ενωσιακό περιβάλλον που επιδρούν στα επιμέρους διοικητικά επίπεδα.</w:t>
      </w:r>
    </w:p>
    <w:p w:rsidR="00E0754B" w:rsidRDefault="00E0754B" w:rsidP="00731484">
      <w:pPr>
        <w:spacing w:line="288" w:lineRule="auto"/>
      </w:pPr>
    </w:p>
    <w:p w:rsidR="00E0754B" w:rsidRPr="0052583C" w:rsidRDefault="00E0754B" w:rsidP="007C6820">
      <w:pPr>
        <w:pStyle w:val="Caption"/>
        <w:keepNext/>
      </w:pPr>
      <w:r w:rsidRPr="007C6820">
        <w:t xml:space="preserve">Πίνακας </w:t>
      </w:r>
      <w:fldSimple w:instr=" SEQ Πίνακας \* ARABIC ">
        <w:r>
          <w:rPr>
            <w:noProof/>
          </w:rPr>
          <w:t>2</w:t>
        </w:r>
      </w:fldSimple>
      <w:r w:rsidRPr="007C6820">
        <w:t>:</w:t>
      </w:r>
      <w:r>
        <w:t xml:space="preserve"> Όψεις επίδρασης της Ε.Ε. στην ελληνική διοίκηση.</w:t>
      </w:r>
    </w:p>
    <w:tbl>
      <w:tblPr>
        <w:tblW w:w="8997" w:type="dxa"/>
        <w:jc w:val="center"/>
        <w:tblBorders>
          <w:top w:val="single" w:sz="4" w:space="0" w:color="000000"/>
          <w:bottom w:val="single" w:sz="4" w:space="0" w:color="000000"/>
        </w:tblBorders>
        <w:tblLook w:val="00A0"/>
      </w:tblPr>
      <w:tblGrid>
        <w:gridCol w:w="2007"/>
        <w:gridCol w:w="2830"/>
        <w:gridCol w:w="4160"/>
      </w:tblGrid>
      <w:tr w:rsidR="00E0754B" w:rsidRPr="00082418" w:rsidTr="00082418">
        <w:trPr>
          <w:jc w:val="center"/>
        </w:trPr>
        <w:tc>
          <w:tcPr>
            <w:tcW w:w="2007" w:type="dxa"/>
            <w:tcBorders>
              <w:top w:val="single" w:sz="4" w:space="0" w:color="000000"/>
              <w:bottom w:val="single" w:sz="4" w:space="0" w:color="000000"/>
            </w:tcBorders>
          </w:tcPr>
          <w:p w:rsidR="00E0754B" w:rsidRPr="00082418" w:rsidRDefault="00E0754B" w:rsidP="00082418">
            <w:pPr>
              <w:spacing w:line="240" w:lineRule="auto"/>
              <w:jc w:val="center"/>
              <w:rPr>
                <w:b/>
                <w:sz w:val="20"/>
              </w:rPr>
            </w:pPr>
            <w:r w:rsidRPr="00082418">
              <w:rPr>
                <w:b/>
                <w:sz w:val="20"/>
              </w:rPr>
              <w:t>Επίπεδο διοίκησης</w:t>
            </w:r>
          </w:p>
        </w:tc>
        <w:tc>
          <w:tcPr>
            <w:tcW w:w="2830" w:type="dxa"/>
            <w:tcBorders>
              <w:top w:val="single" w:sz="4" w:space="0" w:color="000000"/>
              <w:bottom w:val="single" w:sz="4" w:space="0" w:color="000000"/>
            </w:tcBorders>
          </w:tcPr>
          <w:p w:rsidR="00E0754B" w:rsidRPr="00082418" w:rsidRDefault="00E0754B" w:rsidP="00082418">
            <w:pPr>
              <w:spacing w:line="240" w:lineRule="auto"/>
              <w:jc w:val="center"/>
              <w:rPr>
                <w:b/>
                <w:sz w:val="20"/>
              </w:rPr>
            </w:pPr>
            <w:r w:rsidRPr="00082418">
              <w:rPr>
                <w:b/>
                <w:sz w:val="20"/>
              </w:rPr>
              <w:t>Μετασχηματισμοί</w:t>
            </w:r>
          </w:p>
        </w:tc>
        <w:tc>
          <w:tcPr>
            <w:tcW w:w="4160" w:type="dxa"/>
            <w:tcBorders>
              <w:top w:val="single" w:sz="4" w:space="0" w:color="000000"/>
              <w:bottom w:val="single" w:sz="4" w:space="0" w:color="000000"/>
            </w:tcBorders>
          </w:tcPr>
          <w:p w:rsidR="00E0754B" w:rsidRPr="00082418" w:rsidRDefault="00E0754B" w:rsidP="00082418">
            <w:pPr>
              <w:spacing w:line="240" w:lineRule="auto"/>
              <w:jc w:val="center"/>
              <w:rPr>
                <w:b/>
                <w:sz w:val="20"/>
              </w:rPr>
            </w:pPr>
            <w:r w:rsidRPr="00082418">
              <w:rPr>
                <w:b/>
                <w:sz w:val="20"/>
              </w:rPr>
              <w:t>Αναφορά στο ενωσιακό επίπεδο</w:t>
            </w:r>
          </w:p>
        </w:tc>
      </w:tr>
      <w:tr w:rsidR="00E0754B" w:rsidRPr="00082418" w:rsidTr="00082418">
        <w:trPr>
          <w:jc w:val="center"/>
        </w:trPr>
        <w:tc>
          <w:tcPr>
            <w:tcW w:w="2007" w:type="dxa"/>
            <w:tcBorders>
              <w:top w:val="single" w:sz="4" w:space="0" w:color="000000"/>
              <w:bottom w:val="dotted" w:sz="4" w:space="0" w:color="auto"/>
            </w:tcBorders>
          </w:tcPr>
          <w:p w:rsidR="00E0754B" w:rsidRPr="00082418" w:rsidRDefault="00E0754B" w:rsidP="00082418">
            <w:pPr>
              <w:spacing w:line="240" w:lineRule="auto"/>
              <w:jc w:val="left"/>
              <w:rPr>
                <w:sz w:val="20"/>
              </w:rPr>
            </w:pPr>
            <w:r w:rsidRPr="00082418">
              <w:rPr>
                <w:sz w:val="20"/>
              </w:rPr>
              <w:t>Κεντρικό</w:t>
            </w:r>
          </w:p>
        </w:tc>
        <w:tc>
          <w:tcPr>
            <w:tcW w:w="2830" w:type="dxa"/>
            <w:tcBorders>
              <w:top w:val="single" w:sz="4" w:space="0" w:color="000000"/>
              <w:bottom w:val="dotted" w:sz="4" w:space="0" w:color="auto"/>
            </w:tcBorders>
          </w:tcPr>
          <w:p w:rsidR="00E0754B" w:rsidRPr="00082418" w:rsidRDefault="00E0754B" w:rsidP="00082418">
            <w:pPr>
              <w:spacing w:line="240" w:lineRule="auto"/>
              <w:jc w:val="left"/>
              <w:rPr>
                <w:sz w:val="20"/>
                <w:szCs w:val="20"/>
              </w:rPr>
            </w:pPr>
            <w:r w:rsidRPr="00082418">
              <w:rPr>
                <w:sz w:val="20"/>
                <w:szCs w:val="20"/>
              </w:rPr>
              <w:t>Θέσπιση ΜΟΔ ΑΕ</w:t>
            </w:r>
          </w:p>
          <w:p w:rsidR="00E0754B" w:rsidRPr="00082418" w:rsidRDefault="00E0754B" w:rsidP="00082418">
            <w:pPr>
              <w:spacing w:line="240" w:lineRule="auto"/>
              <w:jc w:val="left"/>
              <w:rPr>
                <w:sz w:val="20"/>
                <w:szCs w:val="20"/>
              </w:rPr>
            </w:pPr>
          </w:p>
          <w:p w:rsidR="00E0754B" w:rsidRPr="00082418" w:rsidRDefault="00E0754B" w:rsidP="00082418">
            <w:pPr>
              <w:spacing w:line="240" w:lineRule="auto"/>
              <w:jc w:val="left"/>
              <w:rPr>
                <w:sz w:val="20"/>
                <w:szCs w:val="20"/>
              </w:rPr>
            </w:pPr>
          </w:p>
          <w:p w:rsidR="00E0754B" w:rsidRPr="00082418" w:rsidRDefault="00E0754B" w:rsidP="00082418">
            <w:pPr>
              <w:spacing w:line="240" w:lineRule="auto"/>
              <w:jc w:val="left"/>
              <w:rPr>
                <w:sz w:val="20"/>
                <w:szCs w:val="20"/>
              </w:rPr>
            </w:pPr>
            <w:r w:rsidRPr="00082418">
              <w:rPr>
                <w:sz w:val="20"/>
                <w:szCs w:val="20"/>
              </w:rPr>
              <w:t>Πρόγραμμα «Πολιτεία»</w:t>
            </w:r>
          </w:p>
          <w:p w:rsidR="00E0754B" w:rsidRPr="00082418" w:rsidRDefault="00E0754B" w:rsidP="00082418">
            <w:pPr>
              <w:spacing w:line="240" w:lineRule="auto"/>
              <w:jc w:val="left"/>
              <w:rPr>
                <w:sz w:val="20"/>
                <w:szCs w:val="20"/>
              </w:rPr>
            </w:pPr>
          </w:p>
          <w:p w:rsidR="00E0754B" w:rsidRPr="00082418" w:rsidRDefault="00E0754B" w:rsidP="00082418">
            <w:pPr>
              <w:spacing w:line="240" w:lineRule="auto"/>
              <w:jc w:val="left"/>
              <w:rPr>
                <w:sz w:val="20"/>
              </w:rPr>
            </w:pPr>
            <w:r w:rsidRPr="00082418">
              <w:rPr>
                <w:sz w:val="20"/>
                <w:szCs w:val="20"/>
              </w:rPr>
              <w:t xml:space="preserve">Αναδιοργάνωση </w:t>
            </w:r>
          </w:p>
        </w:tc>
        <w:tc>
          <w:tcPr>
            <w:tcW w:w="4160" w:type="dxa"/>
            <w:tcBorders>
              <w:top w:val="single" w:sz="4" w:space="0" w:color="000000"/>
              <w:bottom w:val="dotted" w:sz="4" w:space="0" w:color="auto"/>
            </w:tcBorders>
          </w:tcPr>
          <w:p w:rsidR="00E0754B" w:rsidRPr="00082418" w:rsidRDefault="00E0754B" w:rsidP="00082418">
            <w:pPr>
              <w:spacing w:line="240" w:lineRule="auto"/>
              <w:jc w:val="left"/>
              <w:rPr>
                <w:sz w:val="20"/>
                <w:szCs w:val="20"/>
              </w:rPr>
            </w:pPr>
            <w:r w:rsidRPr="00082418">
              <w:rPr>
                <w:sz w:val="20"/>
                <w:szCs w:val="20"/>
              </w:rPr>
              <w:t>Οργάνωση και διαχείριση συγχρηματοδοτούμενων προγραμμάτων, αξιοποίηση πόρων Ε.Ε., διοικητική επάρκεια</w:t>
            </w:r>
          </w:p>
          <w:p w:rsidR="00E0754B" w:rsidRPr="00082418" w:rsidRDefault="00E0754B" w:rsidP="00082418">
            <w:pPr>
              <w:spacing w:line="240" w:lineRule="auto"/>
              <w:jc w:val="left"/>
              <w:rPr>
                <w:sz w:val="20"/>
                <w:szCs w:val="20"/>
              </w:rPr>
            </w:pPr>
            <w:r w:rsidRPr="00082418">
              <w:rPr>
                <w:sz w:val="20"/>
                <w:szCs w:val="20"/>
              </w:rPr>
              <w:t xml:space="preserve">Μεταφορά πολιτικής από συγχρηματοδοτούμενες δράσεις </w:t>
            </w:r>
          </w:p>
          <w:p w:rsidR="00E0754B" w:rsidRPr="00082418" w:rsidRDefault="00E0754B" w:rsidP="00082418">
            <w:pPr>
              <w:spacing w:line="240" w:lineRule="auto"/>
              <w:jc w:val="left"/>
              <w:rPr>
                <w:sz w:val="20"/>
              </w:rPr>
            </w:pPr>
            <w:r w:rsidRPr="00082418">
              <w:rPr>
                <w:sz w:val="20"/>
                <w:szCs w:val="20"/>
              </w:rPr>
              <w:t>Μνημόνια χρηματοοικονομικής συνεργασίας (μεταφορά τεχνογνωσίας–εμπειρογνώμονες από Γαλλία)</w:t>
            </w:r>
          </w:p>
        </w:tc>
      </w:tr>
      <w:tr w:rsidR="00E0754B" w:rsidRPr="00082418" w:rsidTr="00082418">
        <w:trPr>
          <w:jc w:val="center"/>
        </w:trPr>
        <w:tc>
          <w:tcPr>
            <w:tcW w:w="2007" w:type="dxa"/>
            <w:tcBorders>
              <w:top w:val="dotted" w:sz="4" w:space="0" w:color="auto"/>
              <w:bottom w:val="dotted" w:sz="4" w:space="0" w:color="auto"/>
            </w:tcBorders>
          </w:tcPr>
          <w:p w:rsidR="00E0754B" w:rsidRPr="00082418" w:rsidRDefault="00E0754B" w:rsidP="00082418">
            <w:pPr>
              <w:spacing w:line="240" w:lineRule="auto"/>
              <w:jc w:val="left"/>
              <w:rPr>
                <w:sz w:val="20"/>
              </w:rPr>
            </w:pPr>
            <w:r w:rsidRPr="00082418">
              <w:rPr>
                <w:sz w:val="20"/>
              </w:rPr>
              <w:t xml:space="preserve">Αποσυγκεντρωμένο </w:t>
            </w:r>
          </w:p>
        </w:tc>
        <w:tc>
          <w:tcPr>
            <w:tcW w:w="2830" w:type="dxa"/>
            <w:tcBorders>
              <w:top w:val="dotted" w:sz="4" w:space="0" w:color="auto"/>
              <w:bottom w:val="dotted" w:sz="4" w:space="0" w:color="auto"/>
            </w:tcBorders>
          </w:tcPr>
          <w:p w:rsidR="00E0754B" w:rsidRPr="00082418" w:rsidRDefault="00E0754B" w:rsidP="00082418">
            <w:pPr>
              <w:tabs>
                <w:tab w:val="clear" w:pos="397"/>
                <w:tab w:val="left" w:pos="-425"/>
              </w:tabs>
              <w:spacing w:line="240" w:lineRule="auto"/>
              <w:ind w:right="-80"/>
              <w:jc w:val="left"/>
              <w:rPr>
                <w:sz w:val="20"/>
                <w:szCs w:val="20"/>
              </w:rPr>
            </w:pPr>
            <w:r w:rsidRPr="00082418">
              <w:rPr>
                <w:sz w:val="20"/>
                <w:szCs w:val="20"/>
              </w:rPr>
              <w:t>Ίδρυση κρατικών περιφερειών</w:t>
            </w:r>
          </w:p>
          <w:p w:rsidR="00E0754B" w:rsidRPr="00082418" w:rsidRDefault="00E0754B" w:rsidP="00082418">
            <w:pPr>
              <w:tabs>
                <w:tab w:val="clear" w:pos="397"/>
                <w:tab w:val="left" w:pos="-425"/>
              </w:tabs>
              <w:spacing w:line="240" w:lineRule="auto"/>
              <w:ind w:right="-80"/>
              <w:jc w:val="left"/>
              <w:rPr>
                <w:sz w:val="20"/>
                <w:szCs w:val="20"/>
              </w:rPr>
            </w:pPr>
          </w:p>
          <w:p w:rsidR="00E0754B" w:rsidRPr="00082418" w:rsidRDefault="00E0754B" w:rsidP="00082418">
            <w:pPr>
              <w:tabs>
                <w:tab w:val="clear" w:pos="397"/>
                <w:tab w:val="left" w:pos="-425"/>
              </w:tabs>
              <w:spacing w:line="240" w:lineRule="auto"/>
              <w:ind w:right="-80"/>
              <w:jc w:val="left"/>
              <w:rPr>
                <w:sz w:val="20"/>
              </w:rPr>
            </w:pPr>
            <w:r w:rsidRPr="00082418">
              <w:rPr>
                <w:sz w:val="20"/>
                <w:szCs w:val="20"/>
              </w:rPr>
              <w:t xml:space="preserve">Αναδιοργάνωση </w:t>
            </w:r>
          </w:p>
        </w:tc>
        <w:tc>
          <w:tcPr>
            <w:tcW w:w="4160" w:type="dxa"/>
            <w:tcBorders>
              <w:top w:val="dotted" w:sz="4" w:space="0" w:color="auto"/>
              <w:bottom w:val="dotted" w:sz="4" w:space="0" w:color="auto"/>
            </w:tcBorders>
          </w:tcPr>
          <w:p w:rsidR="00E0754B" w:rsidRPr="00082418" w:rsidRDefault="00E0754B" w:rsidP="00082418">
            <w:pPr>
              <w:spacing w:line="240" w:lineRule="auto"/>
              <w:jc w:val="left"/>
              <w:rPr>
                <w:sz w:val="20"/>
                <w:szCs w:val="20"/>
              </w:rPr>
            </w:pPr>
            <w:r w:rsidRPr="00082418">
              <w:rPr>
                <w:sz w:val="20"/>
                <w:szCs w:val="20"/>
              </w:rPr>
              <w:t xml:space="preserve">Μεσογειακά Ολοκληρωμένα Προγράμματα </w:t>
            </w:r>
          </w:p>
          <w:p w:rsidR="00E0754B" w:rsidRPr="00082418" w:rsidRDefault="00E0754B" w:rsidP="00082418">
            <w:pPr>
              <w:spacing w:line="240" w:lineRule="auto"/>
              <w:jc w:val="left"/>
              <w:rPr>
                <w:sz w:val="20"/>
                <w:szCs w:val="20"/>
              </w:rPr>
            </w:pPr>
            <w:r w:rsidRPr="00082418">
              <w:rPr>
                <w:sz w:val="20"/>
                <w:szCs w:val="20"/>
              </w:rPr>
              <w:t>(μεταγενέστερα ΚΠΣ)</w:t>
            </w:r>
          </w:p>
          <w:p w:rsidR="00E0754B" w:rsidRPr="00082418" w:rsidRDefault="00E0754B" w:rsidP="00082418">
            <w:pPr>
              <w:spacing w:line="240" w:lineRule="auto"/>
              <w:jc w:val="left"/>
              <w:rPr>
                <w:sz w:val="20"/>
              </w:rPr>
            </w:pPr>
            <w:r w:rsidRPr="00082418">
              <w:rPr>
                <w:sz w:val="20"/>
                <w:szCs w:val="20"/>
              </w:rPr>
              <w:t>Μνημόνια χρηματοοικονομικής συνεργασίας</w:t>
            </w:r>
          </w:p>
        </w:tc>
      </w:tr>
      <w:tr w:rsidR="00E0754B" w:rsidRPr="00082418" w:rsidTr="00082418">
        <w:trPr>
          <w:jc w:val="center"/>
        </w:trPr>
        <w:tc>
          <w:tcPr>
            <w:tcW w:w="2007" w:type="dxa"/>
            <w:tcBorders>
              <w:top w:val="dotted" w:sz="4" w:space="0" w:color="auto"/>
              <w:bottom w:val="single" w:sz="4" w:space="0" w:color="000000"/>
            </w:tcBorders>
          </w:tcPr>
          <w:p w:rsidR="00E0754B" w:rsidRPr="00082418" w:rsidRDefault="00E0754B" w:rsidP="00082418">
            <w:pPr>
              <w:spacing w:line="240" w:lineRule="auto"/>
              <w:jc w:val="left"/>
              <w:rPr>
                <w:sz w:val="20"/>
              </w:rPr>
            </w:pPr>
            <w:r w:rsidRPr="00082418">
              <w:rPr>
                <w:sz w:val="20"/>
              </w:rPr>
              <w:t>Αυτοδιοικητικό</w:t>
            </w:r>
          </w:p>
        </w:tc>
        <w:tc>
          <w:tcPr>
            <w:tcW w:w="2830" w:type="dxa"/>
            <w:tcBorders>
              <w:top w:val="dotted" w:sz="4" w:space="0" w:color="auto"/>
              <w:bottom w:val="single" w:sz="4" w:space="0" w:color="000000"/>
            </w:tcBorders>
          </w:tcPr>
          <w:p w:rsidR="00E0754B" w:rsidRPr="00082418" w:rsidRDefault="00E0754B" w:rsidP="00082418">
            <w:pPr>
              <w:spacing w:line="240" w:lineRule="auto"/>
              <w:jc w:val="left"/>
              <w:rPr>
                <w:sz w:val="20"/>
                <w:szCs w:val="20"/>
              </w:rPr>
            </w:pPr>
            <w:r w:rsidRPr="00082418">
              <w:rPr>
                <w:sz w:val="20"/>
                <w:szCs w:val="20"/>
              </w:rPr>
              <w:t xml:space="preserve">Ίδρυση ΟΤΑ Β΄ </w:t>
            </w:r>
          </w:p>
          <w:p w:rsidR="00E0754B" w:rsidRPr="00082418" w:rsidRDefault="00E0754B" w:rsidP="00082418">
            <w:pPr>
              <w:spacing w:line="240" w:lineRule="auto"/>
              <w:jc w:val="left"/>
              <w:rPr>
                <w:sz w:val="20"/>
                <w:szCs w:val="20"/>
              </w:rPr>
            </w:pPr>
            <w:r w:rsidRPr="00082418">
              <w:rPr>
                <w:sz w:val="20"/>
                <w:szCs w:val="20"/>
              </w:rPr>
              <w:t>Πρόγραμμα «Θησέας»</w:t>
            </w:r>
          </w:p>
          <w:p w:rsidR="00E0754B" w:rsidRPr="00082418" w:rsidRDefault="00E0754B" w:rsidP="00082418">
            <w:pPr>
              <w:spacing w:line="240" w:lineRule="auto"/>
              <w:jc w:val="left"/>
              <w:rPr>
                <w:sz w:val="20"/>
                <w:szCs w:val="20"/>
              </w:rPr>
            </w:pPr>
          </w:p>
          <w:p w:rsidR="00E0754B" w:rsidRPr="00082418" w:rsidRDefault="00E0754B" w:rsidP="00082418">
            <w:pPr>
              <w:spacing w:line="240" w:lineRule="auto"/>
              <w:jc w:val="left"/>
              <w:rPr>
                <w:sz w:val="20"/>
                <w:szCs w:val="20"/>
              </w:rPr>
            </w:pPr>
            <w:r w:rsidRPr="00082418">
              <w:rPr>
                <w:sz w:val="20"/>
                <w:szCs w:val="20"/>
              </w:rPr>
              <w:t>Πρόγραμμα «Καλλικράτης»</w:t>
            </w:r>
          </w:p>
          <w:p w:rsidR="00E0754B" w:rsidRPr="00082418" w:rsidRDefault="00E0754B" w:rsidP="00082418">
            <w:pPr>
              <w:spacing w:line="240" w:lineRule="auto"/>
              <w:jc w:val="left"/>
              <w:rPr>
                <w:sz w:val="20"/>
                <w:szCs w:val="20"/>
              </w:rPr>
            </w:pPr>
          </w:p>
          <w:p w:rsidR="00E0754B" w:rsidRPr="00082418" w:rsidRDefault="00E0754B" w:rsidP="00082418">
            <w:pPr>
              <w:spacing w:line="240" w:lineRule="auto"/>
              <w:jc w:val="left"/>
              <w:rPr>
                <w:sz w:val="20"/>
              </w:rPr>
            </w:pPr>
            <w:r w:rsidRPr="00082418">
              <w:rPr>
                <w:sz w:val="20"/>
                <w:szCs w:val="20"/>
              </w:rPr>
              <w:t xml:space="preserve">Αναδιοργάνωση </w:t>
            </w:r>
          </w:p>
        </w:tc>
        <w:tc>
          <w:tcPr>
            <w:tcW w:w="4160" w:type="dxa"/>
            <w:tcBorders>
              <w:top w:val="dotted" w:sz="4" w:space="0" w:color="auto"/>
              <w:bottom w:val="single" w:sz="4" w:space="0" w:color="000000"/>
            </w:tcBorders>
          </w:tcPr>
          <w:p w:rsidR="00E0754B" w:rsidRPr="00082418" w:rsidRDefault="00E0754B" w:rsidP="00082418">
            <w:pPr>
              <w:spacing w:line="240" w:lineRule="auto"/>
              <w:jc w:val="left"/>
              <w:rPr>
                <w:sz w:val="20"/>
                <w:szCs w:val="20"/>
              </w:rPr>
            </w:pPr>
            <w:r w:rsidRPr="00082418">
              <w:rPr>
                <w:sz w:val="20"/>
                <w:szCs w:val="20"/>
              </w:rPr>
              <w:t>Αντιπροσώπευση σε ΕτΠ, επικουρικότητα</w:t>
            </w:r>
          </w:p>
          <w:p w:rsidR="00E0754B" w:rsidRPr="00082418" w:rsidRDefault="00E0754B" w:rsidP="00082418">
            <w:pPr>
              <w:spacing w:line="240" w:lineRule="auto"/>
              <w:jc w:val="left"/>
              <w:rPr>
                <w:sz w:val="20"/>
                <w:szCs w:val="20"/>
              </w:rPr>
            </w:pPr>
            <w:r w:rsidRPr="00082418">
              <w:rPr>
                <w:sz w:val="20"/>
                <w:szCs w:val="20"/>
              </w:rPr>
              <w:t>Μεταφορά πολιτικής από συγχρηματοδοτούμενες δράσεις</w:t>
            </w:r>
          </w:p>
          <w:p w:rsidR="00E0754B" w:rsidRPr="00082418" w:rsidRDefault="00E0754B" w:rsidP="00082418">
            <w:pPr>
              <w:spacing w:line="240" w:lineRule="auto"/>
              <w:jc w:val="left"/>
              <w:rPr>
                <w:sz w:val="20"/>
                <w:szCs w:val="20"/>
              </w:rPr>
            </w:pPr>
            <w:r w:rsidRPr="00082418">
              <w:rPr>
                <w:sz w:val="20"/>
                <w:szCs w:val="20"/>
              </w:rPr>
              <w:t xml:space="preserve">Συνθήκη Λισσαβώνας, πολυεπίπεδη διακυβέρνηση, θεσμική και διοικητική αναβάθμιση </w:t>
            </w:r>
          </w:p>
          <w:p w:rsidR="00E0754B" w:rsidRPr="00082418" w:rsidRDefault="00E0754B" w:rsidP="00082418">
            <w:pPr>
              <w:spacing w:line="240" w:lineRule="auto"/>
              <w:jc w:val="left"/>
              <w:rPr>
                <w:sz w:val="20"/>
                <w:szCs w:val="20"/>
              </w:rPr>
            </w:pPr>
            <w:r w:rsidRPr="00082418">
              <w:rPr>
                <w:sz w:val="20"/>
                <w:szCs w:val="20"/>
              </w:rPr>
              <w:t xml:space="preserve">Μνημόνια χρηματοοικονομικής συνεργασίας </w:t>
            </w:r>
          </w:p>
          <w:p w:rsidR="00E0754B" w:rsidRPr="00082418" w:rsidRDefault="00E0754B" w:rsidP="00082418">
            <w:pPr>
              <w:spacing w:line="240" w:lineRule="auto"/>
              <w:jc w:val="left"/>
              <w:rPr>
                <w:sz w:val="20"/>
              </w:rPr>
            </w:pPr>
            <w:r w:rsidRPr="00082418">
              <w:rPr>
                <w:sz w:val="20"/>
                <w:szCs w:val="20"/>
              </w:rPr>
              <w:t>(μεταφορά τεχνογνωσίας–εμπειρογνώμονες από Γερμανία)</w:t>
            </w:r>
          </w:p>
        </w:tc>
      </w:tr>
    </w:tbl>
    <w:p w:rsidR="00E0754B" w:rsidRPr="0052583C" w:rsidRDefault="00E0754B" w:rsidP="007C6820">
      <w:pPr>
        <w:spacing w:line="288" w:lineRule="auto"/>
        <w:rPr>
          <w:sz w:val="20"/>
        </w:rPr>
      </w:pPr>
      <w:r w:rsidRPr="0052583C">
        <w:rPr>
          <w:sz w:val="20"/>
        </w:rPr>
        <w:t xml:space="preserve">Πηγή: </w:t>
      </w:r>
      <w:r>
        <w:rPr>
          <w:sz w:val="20"/>
        </w:rPr>
        <w:t>Ίδια ε</w:t>
      </w:r>
      <w:r w:rsidRPr="0052583C">
        <w:rPr>
          <w:sz w:val="20"/>
        </w:rPr>
        <w:t>πεξεργασία.</w:t>
      </w:r>
    </w:p>
    <w:p w:rsidR="00E0754B" w:rsidRDefault="00E0754B" w:rsidP="007C6820">
      <w:pPr>
        <w:spacing w:line="288" w:lineRule="auto"/>
        <w:rPr>
          <w:sz w:val="20"/>
        </w:rPr>
      </w:pPr>
    </w:p>
    <w:p w:rsidR="00E0754B" w:rsidRDefault="00E0754B" w:rsidP="00731484">
      <w:pPr>
        <w:spacing w:line="288" w:lineRule="auto"/>
      </w:pPr>
      <w:r>
        <w:t>Η περίοδος της δημοσιονομικής κρίσης συνιστά το διάστημα όπου η διοίκηση εξαναγκάζεται σε «ανελαστικές» προσαρμογές, συγκριτικά με την περίοδο πριν το 2009 όπου οι μηχανισμοί μεταφοράς των επιρροών είναι ήπιοι. Η αποτίμηση της συνολικότερης έκβασης της επίδρασης της Ε.Ε. στην ελληνική διοίκηση, από την ένταξη της χώρας και έπειτα, επιχειρείται στην επόμενη ενότητα.</w:t>
      </w:r>
    </w:p>
    <w:p w:rsidR="00E0754B" w:rsidRDefault="00E0754B" w:rsidP="00731484">
      <w:pPr>
        <w:spacing w:line="288" w:lineRule="auto"/>
      </w:pPr>
    </w:p>
    <w:p w:rsidR="00E0754B" w:rsidRPr="00D25DA6" w:rsidRDefault="00E0754B" w:rsidP="00731484">
      <w:pPr>
        <w:spacing w:line="288" w:lineRule="auto"/>
      </w:pPr>
    </w:p>
    <w:p w:rsidR="00E0754B" w:rsidRPr="00E3042B" w:rsidRDefault="00E0754B" w:rsidP="00273453">
      <w:pPr>
        <w:pStyle w:val="Heading1"/>
      </w:pPr>
      <w:bookmarkStart w:id="9" w:name="_Toc428454039"/>
      <w:bookmarkStart w:id="10" w:name="_Toc497685939"/>
      <w:r>
        <w:t xml:space="preserve">5. </w:t>
      </w:r>
      <w:bookmarkEnd w:id="9"/>
      <w:r>
        <w:t>Η έκβαση των επιδράσεων: «αλλαγή παραδείγματος» ή αναπαραγωγή χαρακτηριστικών;</w:t>
      </w:r>
      <w:bookmarkEnd w:id="10"/>
      <w:r>
        <w:t xml:space="preserve"> </w:t>
      </w:r>
    </w:p>
    <w:p w:rsidR="00E0754B" w:rsidRDefault="00E0754B" w:rsidP="00E23DE1">
      <w:pPr>
        <w:spacing w:line="288" w:lineRule="auto"/>
      </w:pPr>
      <w:r>
        <w:t xml:space="preserve">Αναμφισβήτητα, η Ε.Ε. δεν αποτελεί το μοναδικό παράγοντα επίδρασης στο ελληνικό διοικητικό σύστημα, ούτε κάθε μεταβολή του τελευταίου μπορεί να συσχετιστεί αιτιακά με την Ε.Ε. Παράλληλες πιέσεις εκσυγχρονισμού ασκούνται τόσο από εξωγενείς παράγοντες –πλην Ε.Ε.– όπως το φαινόμενο της παγκοσμιοποίησης και οι διεθνείς πιέσεις ανταγωνισμού με στόχο την αποτελεσματικότητα, αποδοτικότητα και οικονομικότητα της χρήσης των πόρων, όσο και από ενδογενείς μεταβλητές όπως αιτήματα για ικανοποίηση αναγκών των πολιτών και υψηλότερο επίπεδο κοινωνικής ευημερίας. Εν τούτοις, η συμμετοχή της Ελλάδας στην Ε.Ε. διαμόρφωσε μια νέα, άμεση και δυναμική τάση για αλλαγές και μεταρρυθμίσεις στο πεδίο της δημόσιας διοίκησης. </w:t>
      </w:r>
    </w:p>
    <w:p w:rsidR="00E0754B" w:rsidRDefault="00E0754B" w:rsidP="00E23DE1">
      <w:pPr>
        <w:spacing w:line="288" w:lineRule="auto"/>
      </w:pPr>
    </w:p>
    <w:p w:rsidR="00E0754B" w:rsidRDefault="00E0754B" w:rsidP="00731484">
      <w:pPr>
        <w:spacing w:line="288" w:lineRule="auto"/>
      </w:pPr>
      <w:r>
        <w:t>Όπως επισημάνθηκε, η ελληνική δημόσια διοίκηση αντιμετώπιζε χρόνιες ανεπάρκειες και υστερήσεις, ενώ η ανταπόκρισή της (συμβατότητα) σε προδιαγραφές λειτουργίας ευρωπαϊκών δημόσιων πολιτικών –κυρίαρχα της πολιτικής συνοχής– εμφανιζόταν περιορισμένη. Παρά τις αλλαγές και τις προσπάθειες βελτίωσης, οι διαρθρωτικές αδυναμίες της δημόσιας διοίκησης συντηρήθηκαν και αναπαράχθηκαν</w:t>
      </w:r>
      <w:r w:rsidRPr="00A6309F">
        <w:t xml:space="preserve"> </w:t>
      </w:r>
      <w:r>
        <w:t>σε παράλληλη τροχιά με την προώθηση εκσυγχρονιστικών πρωτοβουλιών. Για παράδειγμα, η θεσμοθέτηση του ΑΣΕΠ το 1994</w:t>
      </w:r>
      <w:r>
        <w:rPr>
          <w:rStyle w:val="FootnoteReference"/>
        </w:rPr>
        <w:footnoteReference w:id="47"/>
      </w:r>
      <w:r>
        <w:t xml:space="preserve"> προκειμένου να τεθούν κριτήρια αξιοκρατικής πρόσληψης ανθρώπινου δυναμικού βάσει ικανότητας και επάρκειας, περιόρισε μεν σημαντικά αλλά δεν εξάλειψε το φαινόμενο διορισμών εκτός του εν λόγω πλαισίου</w:t>
      </w:r>
      <w:r>
        <w:rPr>
          <w:rStyle w:val="FootnoteReference"/>
        </w:rPr>
        <w:footnoteReference w:id="48"/>
      </w:r>
      <w:r>
        <w:t>.</w:t>
      </w:r>
    </w:p>
    <w:p w:rsidR="00E0754B" w:rsidRDefault="00E0754B" w:rsidP="00731484">
      <w:pPr>
        <w:spacing w:line="288" w:lineRule="auto"/>
      </w:pPr>
    </w:p>
    <w:p w:rsidR="00E0754B" w:rsidRDefault="00E0754B" w:rsidP="00BC2383">
      <w:pPr>
        <w:spacing w:line="288" w:lineRule="auto"/>
      </w:pPr>
      <w:r>
        <w:t xml:space="preserve">Επιμέρους οργανωτικές προσαρμογές </w:t>
      </w:r>
      <w:r w:rsidRPr="00030C7D">
        <w:t xml:space="preserve">που πραγματοποιήθηκαν </w:t>
      </w:r>
      <w:r>
        <w:t>είχαν «μορφολογικό» χαρακτήρα και δεν μετέβαλαν ουσιαστικά το εγχώριο διοικητικό υπόδειγμα,</w:t>
      </w:r>
      <w:r w:rsidRPr="003A1452">
        <w:t xml:space="preserve"> </w:t>
      </w:r>
      <w:r>
        <w:t>καθώς εστίασαν σε τυπικές διαστάσεις λειτουργίας παραλείποντας τις άτυπες (</w:t>
      </w:r>
      <w:r>
        <w:rPr>
          <w:noProof/>
        </w:rPr>
        <w:t>Τσέκος, 2009, σ. 139)</w:t>
      </w:r>
      <w:r>
        <w:t>.</w:t>
      </w:r>
      <w:r w:rsidRPr="00BC2383">
        <w:t xml:space="preserve"> </w:t>
      </w:r>
      <w:r>
        <w:t xml:space="preserve">Συναφώς, δεν θεσμοθετήθηκε </w:t>
      </w:r>
      <w:r w:rsidRPr="00D1721C">
        <w:t>μόνιμου χαρακτήρα «</w:t>
      </w:r>
      <w:r>
        <w:t xml:space="preserve">ιδιαίτερη </w:t>
      </w:r>
      <w:r w:rsidRPr="00D1721C">
        <w:t xml:space="preserve">δομή υπουργικού ή κυβερνητικού επιπέδου» </w:t>
      </w:r>
      <w:r w:rsidRPr="00D1721C">
        <w:rPr>
          <w:noProof/>
        </w:rPr>
        <w:t>(Σπανού, 2001, σ. 105)</w:t>
      </w:r>
      <w:r w:rsidRPr="00D1721C">
        <w:t xml:space="preserve"> </w:t>
      </w:r>
      <w:r>
        <w:rPr>
          <w:noProof/>
        </w:rPr>
        <w:t>η οποία,</w:t>
      </w:r>
      <w:r w:rsidRPr="00D1721C">
        <w:t xml:space="preserve"> </w:t>
      </w:r>
      <w:r>
        <w:t>ενδεχομένως, θα επεδίωκε όχι μόνον την εγχώρια προσαρμογή της διοίκησης σε ενωσιακές λειτουργικές προδιαγραφές αλλά, ίσως πιο φιλόδοξα, θα επιχειρούσε και την «προβολή» (</w:t>
      </w:r>
      <w:r>
        <w:rPr>
          <w:lang w:val="en-US"/>
        </w:rPr>
        <w:t>projecting</w:t>
      </w:r>
      <w:r>
        <w:t xml:space="preserve">) εγχώριων προτιμήσεων δημόσιων πολιτικών προς στους ευρωπαϊκούς θεσμούς, διευκολύνοντας στη συνέχεια τη διαδικασία ενσωμάτωσής τους (δηλαδή το «κατέβασμα» – </w:t>
      </w:r>
      <w:r>
        <w:rPr>
          <w:lang w:val="en-US"/>
        </w:rPr>
        <w:t>downloading</w:t>
      </w:r>
      <w:r>
        <w:t>) από τη διοίκηση.</w:t>
      </w:r>
    </w:p>
    <w:p w:rsidR="00E0754B" w:rsidRDefault="00E0754B" w:rsidP="00731484">
      <w:pPr>
        <w:spacing w:line="288" w:lineRule="auto"/>
      </w:pPr>
    </w:p>
    <w:p w:rsidR="00E0754B" w:rsidRDefault="00E0754B" w:rsidP="00731484">
      <w:pPr>
        <w:spacing w:line="288" w:lineRule="auto"/>
      </w:pPr>
      <w:r>
        <w:t>Ουσιαστικά, η εξάρτηση από την προηγούμενη πορεία (</w:t>
      </w:r>
      <w:r>
        <w:rPr>
          <w:lang w:val="en-US"/>
        </w:rPr>
        <w:t>path</w:t>
      </w:r>
      <w:r w:rsidRPr="002E0B72">
        <w:t xml:space="preserve"> </w:t>
      </w:r>
      <w:r>
        <w:rPr>
          <w:lang w:val="en-US"/>
        </w:rPr>
        <w:t>dependence</w:t>
      </w:r>
      <w:r>
        <w:t>), η οποία στο ελληνικό διοικητικό υπόδειγμα</w:t>
      </w:r>
      <w:r>
        <w:rPr>
          <w:rStyle w:val="FootnoteReference"/>
        </w:rPr>
        <w:footnoteReference w:id="49"/>
      </w:r>
      <w:r>
        <w:t xml:space="preserve"> χαρακτηρίζεται από έντονες διοικητικές αδυναμίες, υψηλό συγκεντρωτισμό, νομικισμό, τυπολατρία, έμφαση στις διαδικασίες και περιορισμένη εστίαση στο αποτέλεσμα, μαζί με πρακτικές μη αξιοκρατικής επιλογής προσωπικού</w:t>
      </w:r>
      <w:r w:rsidRPr="0011598A">
        <w:t xml:space="preserve"> </w:t>
      </w:r>
      <w:r>
        <w:t>και κυριαρχία άτυπων παρεμβάσεων, ερμηνεύει σε σημαντικό βαθμό την αδυναμία «αλλαγής παραδείγματος»</w:t>
      </w:r>
      <w:r>
        <w:rPr>
          <w:rStyle w:val="FootnoteReference"/>
        </w:rPr>
        <w:footnoteReference w:id="50"/>
      </w:r>
      <w:r>
        <w:t xml:space="preserve"> στο χώρο της δημόσιας διοίκησης. Έτσι, οι μεταβολές που επήλθαν εμφανίζουν μάλλον οριακό χαρακτήρα.</w:t>
      </w:r>
    </w:p>
    <w:p w:rsidR="00E0754B" w:rsidRDefault="00E0754B" w:rsidP="00731484">
      <w:pPr>
        <w:spacing w:line="288" w:lineRule="auto"/>
      </w:pPr>
    </w:p>
    <w:p w:rsidR="00E0754B" w:rsidRDefault="00E0754B" w:rsidP="00731484">
      <w:pPr>
        <w:spacing w:line="288" w:lineRule="auto"/>
      </w:pPr>
      <w:r>
        <w:t xml:space="preserve">Οι θεσμικές και λειτουργικές απαιτήσεις της πολιτικής συνοχής της Ε.Ε. σε συνδυασμό με το προωθούμενο, από την ίδια, υπόδειγμα της πολυεπίπεδης διακυβέρνησης εμφανίζονται ως πρωταγωνιστικοί παράγοντες άσκησης –ήπιων– πιέσεων προσαρμογής επί της ελληνικής διοίκησης έως το 2009. Μακροσκοπικά, η επίδραση της Ε.Ε. εμφανίζει πολυεπίπεδο </w:t>
      </w:r>
      <w:r w:rsidRPr="0068687A">
        <w:t>και ασύμμετρ</w:t>
      </w:r>
      <w:r>
        <w:t>ο χαρακτήρα. Ο πολυεπίπεδος χαρακτήρας συνδέεται με μεταβολές στην αρχιτεκτονική διακυβέρνησης της χώρας, σε όλα τα επίπεδα διοίκησης (κεντρικό, αποσυγκεντρωμένο, αυτοδιοικητικό). Υψηλότερος βαθμός επίδρασης, επομένως ασυμμετρία</w:t>
      </w:r>
      <w:r>
        <w:rPr>
          <w:rStyle w:val="FootnoteReference"/>
        </w:rPr>
        <w:footnoteReference w:id="51"/>
      </w:r>
      <w:r>
        <w:t>, εντοπίζεται στην προοδευτική αναδιαμόρφωση του υποεθνικού επιπέδου διοίκησης της χώρας μέσω της ανάδυσης νέων θεσμών (αλλαγή εγχώριων δομών ευκαιριών) και πλαισίωσης ιδεών, πεποιθήσεων και προσδοκιών εγχώριων υποεθνικών δρώντων</w:t>
      </w:r>
      <w:r>
        <w:rPr>
          <w:rStyle w:val="FootnoteReference"/>
        </w:rPr>
        <w:footnoteReference w:id="52"/>
      </w:r>
      <w:r>
        <w:t>. Η κατεύθυνση των αλλαγών τείνει προς την ενδυνάμωση του ρόλου της αυτοδιοίκησης σε επιμέρους στάδια της πολιτικής συνοχής (διαμόρφωση, υλοποίηση) στοιχείο που συνδέεται ευθέως με τις παραδοχές του μοντέλου της πολυεπίπεδης διακυβέρνησης</w:t>
      </w:r>
      <w:r>
        <w:rPr>
          <w:rStyle w:val="FootnoteReference"/>
        </w:rPr>
        <w:footnoteReference w:id="53"/>
      </w:r>
      <w:r>
        <w:t xml:space="preserve">. Ο μηχανισμός της μεταφοράς πολιτικής αλλά και τα ειδικά επιχειρησιακά προγράμματα που χρηματοδοτήθηκαν από τα διαρθρωτικά ταμεία της Ε.Ε. υποστήριξαν εγχώριες διοικητικές μεταβολές με αποτελέσματα που διαχέονται στο σύνολο του διοικητικού μηχανισμού (κεντρική και αποσυγκεντρωμένη διοίκηση, αυτοδιοίκηση). </w:t>
      </w:r>
    </w:p>
    <w:p w:rsidR="00E0754B" w:rsidRDefault="00E0754B" w:rsidP="00731484">
      <w:pPr>
        <w:spacing w:line="288" w:lineRule="auto"/>
      </w:pPr>
    </w:p>
    <w:p w:rsidR="00E0754B" w:rsidRDefault="00E0754B" w:rsidP="00731484">
      <w:pPr>
        <w:spacing w:line="288" w:lineRule="auto"/>
      </w:pPr>
      <w:r>
        <w:t>Στην περίοδο που εκκινεί από το 2010 και έπειτα, η Ελλάδα εμφανίζεται «οικονομικά ευπαθής», στοιχείο που την καθιστά δεκτική σε αλλαγές πολιτικής (Schmidt, 2002, σ. 898</w:t>
      </w:r>
      <w:r w:rsidRPr="00DC1923">
        <w:t>)</w:t>
      </w:r>
      <w:r>
        <w:t>. Πράγματι, η εκδήλωση της δημοσιονομικής κρίσης έθεσε εκ νέου παθογένειες, αδυναμίες και υστερήσεις του διοικητικού μηχανισμού στο προσκήνιο των επιχειρούμενων αλλαγών, μεταβάλλοντας σημαντικά το περιεχόμενο της πολιτικής για τη δημόσια διοίκηση. Η διάσωση της οικονομίας και η εκταμίευση χρημάτων, με τη συμμετοχή της Ε.Ε. ως εταίρου, συνδέθηκε με προαπαιτούμενες ενέργειες ριζικών μεταβολών σε όλα τα επίπεδα της διοίκησης. Έτσι, ο μηχανισμός προσαρμογής εμφανίζει (εξ)αναγκαστική φύση και τα εφαρμοζόμενα μέτρα ανελαστικό χαρακτήρα</w:t>
      </w:r>
      <w:r>
        <w:rPr>
          <w:rStyle w:val="FootnoteReference"/>
        </w:rPr>
        <w:footnoteReference w:id="54"/>
      </w:r>
      <w:r>
        <w:t xml:space="preserve">. Η περίοδος ως εκ τούτου συνιστά «την πιο εξαναγκαστική φάση του εξευρωπαϊσμού της Ελλάδας από την ένταξη στην ΕΟΚ» </w:t>
      </w:r>
      <w:r w:rsidRPr="00001BC9">
        <w:rPr>
          <w:noProof/>
        </w:rPr>
        <w:t>(</w:t>
      </w:r>
      <w:r>
        <w:rPr>
          <w:noProof/>
          <w:lang w:val="en-US"/>
        </w:rPr>
        <w:t>Ladi</w:t>
      </w:r>
      <w:r w:rsidRPr="00001BC9">
        <w:rPr>
          <w:noProof/>
        </w:rPr>
        <w:t>, 2014)</w:t>
      </w:r>
      <w:r>
        <w:t xml:space="preserve">. </w:t>
      </w:r>
    </w:p>
    <w:p w:rsidR="00E0754B" w:rsidRDefault="00E0754B" w:rsidP="00731484">
      <w:pPr>
        <w:spacing w:line="288" w:lineRule="auto"/>
      </w:pPr>
    </w:p>
    <w:p w:rsidR="00E0754B" w:rsidRDefault="00E0754B" w:rsidP="00731484">
      <w:pPr>
        <w:spacing w:line="288" w:lineRule="auto"/>
      </w:pPr>
      <w:r>
        <w:t>Παρ’ όλα αυτά, η κρίση δεν λειτούργησε ως κρίσιμο σημείο διακοπής της προηγούμενης «τροχιάς» (ανεπαρκειών, αδυναμιών κτλ). Οι μεταβολές που επιχειρήθηκαν, υιοθετώντας περισσότερο βραχυπρόθεσμη στόχευση, εστίασαν στον «ανιχνεύσιμο» δημοσιονομικό πυρήνα λειτουργίας της διοίκησης. Σκοπός των παρεμβάσεων εμφανίζεται η οριζόντια συρρίκνωση της δημόσιας δαπάνης</w:t>
      </w:r>
      <w:r>
        <w:rPr>
          <w:rStyle w:val="FootnoteReference"/>
        </w:rPr>
        <w:footnoteReference w:id="55"/>
      </w:r>
      <w:r>
        <w:t>, ενώ η αντιμετώπιση παθογενειών και αδυναμιών που συναρτώνται με τον ποιοτικό πυρήνα λειτουργίας της διοίκησης δεν προωθήθηκαν αποτελεσματικά (π.χ. αξιοκρατία κατά την πρόσληψη, αξιολόγηση</w:t>
      </w:r>
      <w:r>
        <w:rPr>
          <w:rStyle w:val="FootnoteReference"/>
        </w:rPr>
        <w:footnoteReference w:id="56"/>
      </w:r>
      <w:r>
        <w:t xml:space="preserve"> και εξέλιξη προσωπικού, λογοδοσία, </w:t>
      </w:r>
      <w:r>
        <w:rPr>
          <w:lang w:val="en-US"/>
        </w:rPr>
        <w:t>esprit</w:t>
      </w:r>
      <w:r w:rsidRPr="002571C5">
        <w:t xml:space="preserve"> </w:t>
      </w:r>
      <w:r>
        <w:rPr>
          <w:lang w:val="en-US"/>
        </w:rPr>
        <w:t>de</w:t>
      </w:r>
      <w:r w:rsidRPr="002571C5">
        <w:t xml:space="preserve"> </w:t>
      </w:r>
      <w:r>
        <w:rPr>
          <w:lang w:val="en-US"/>
        </w:rPr>
        <w:t>corps</w:t>
      </w:r>
      <w:r>
        <w:t xml:space="preserve">). Υπό άλλη διατύπωση, η ποιοτική συνιστώσα λειτουργίας της διοίκησης, η οποία συγκροτείται και εμπεδώνεται σταδιακά, φέροντας μακροπρόθεσμη δυναμική, παρέμεινε εν πολλοίς στο περιθώριο με αναπαραγόμενα χαρακτηριστικά. Αντίθετα, η δημοσιονομική συνιστώσα (δαπάνη λειτουργίας) αναδιαμορφώθηκε ριζικά. </w:t>
      </w:r>
    </w:p>
    <w:p w:rsidR="00E0754B" w:rsidRDefault="00E0754B" w:rsidP="00731484">
      <w:pPr>
        <w:spacing w:line="288" w:lineRule="auto"/>
      </w:pPr>
    </w:p>
    <w:p w:rsidR="00E0754B" w:rsidRDefault="00E0754B" w:rsidP="00731484">
      <w:pPr>
        <w:spacing w:line="288" w:lineRule="auto"/>
      </w:pPr>
      <w:r>
        <w:t>Η συνολικότερη αποτίμηση της έκβασης της διαδικασίας ευρωπαϊκής ολοκλήρωσης στην ελληνική διοίκηση, από την ένταξη της χώρας στην Ε.Ε. έως και την περίοδο της δημοσιονομικής κρίσης, παρέχει ενδείξεις ότι η επίδραση της Ε.Ε. κυμαίνεται μεταξύ «αδράνειας» (</w:t>
      </w:r>
      <w:r>
        <w:rPr>
          <w:lang w:val="en-US"/>
        </w:rPr>
        <w:t>inertia</w:t>
      </w:r>
      <w:r>
        <w:t>) και «απορρόφησης» (</w:t>
      </w:r>
      <w:r>
        <w:rPr>
          <w:lang w:val="en-US"/>
        </w:rPr>
        <w:t>absorption</w:t>
      </w:r>
      <w:r>
        <w:sym w:font="Wingdings" w:char="F09E"/>
      </w:r>
      <w:r w:rsidRPr="00A445DD">
        <w:t xml:space="preserve"> </w:t>
      </w:r>
      <w:r>
        <w:t>Radaelli, 2003)</w:t>
      </w:r>
      <w:r w:rsidRPr="00A445DD">
        <w:t xml:space="preserve"> </w:t>
      </w:r>
      <w:r>
        <w:t xml:space="preserve">των ενωσιακών πιέσεων. Με άλλα λόγια, παρά το γεγονός ότι η Ε.Ε. άσκησε επίδραση στην ελληνική διοίκηση, παρέχοντας ακόμη και κίνητρα για αλλαγή (π.χ. πόρους των διαρθρωτικών ταμείων αλλά και ειδικότερα προγράμματα διοικητικού εκσυγχρονισμού) το εξευρωπαϊστικό αποτέλεσμα δεν εμφανίζει ενδείξεις ριζοσπαστικής μεταρρύθμισης. Έτσι, αδυναμίες και ανεπάρκειες του ποιοτικού πυρήνα λειτουργίας της ελληνικής διοίκησης εμφανίζουν ανθεκτικότητα στις εισηγούμενες αλλαγές, ακόμη και κατά τη διάρκεια της μεγαλύτερης οικονομικής κρίσης που γνώρισε η χώρα μεταπολεμικά. </w:t>
      </w:r>
    </w:p>
    <w:p w:rsidR="00E0754B" w:rsidRDefault="00E0754B" w:rsidP="00731484">
      <w:pPr>
        <w:spacing w:line="288" w:lineRule="auto"/>
      </w:pPr>
    </w:p>
    <w:p w:rsidR="00E0754B" w:rsidRDefault="00E0754B" w:rsidP="00731484">
      <w:pPr>
        <w:spacing w:line="288" w:lineRule="auto"/>
      </w:pPr>
    </w:p>
    <w:p w:rsidR="00E0754B" w:rsidRPr="00273453" w:rsidRDefault="00E0754B" w:rsidP="00273453">
      <w:pPr>
        <w:pStyle w:val="Heading1"/>
      </w:pPr>
      <w:bookmarkStart w:id="11" w:name="_Toc497685940"/>
      <w:r>
        <w:t xml:space="preserve">6. </w:t>
      </w:r>
      <w:r w:rsidRPr="00273453">
        <w:t>Συμπεράσματα</w:t>
      </w:r>
      <w:bookmarkEnd w:id="11"/>
    </w:p>
    <w:p w:rsidR="00E0754B" w:rsidRDefault="00E0754B" w:rsidP="00D81A27">
      <w:pPr>
        <w:spacing w:line="288" w:lineRule="auto"/>
      </w:pPr>
      <w:r>
        <w:t xml:space="preserve">Η παρούσα ανάλυση επιχείρησε να διερευνήσει τη επίδραση της Ε.Ε. στην ελληνική δημόσια διοίκηση, </w:t>
      </w:r>
      <w:r w:rsidRPr="000018DA">
        <w:t>εστιάζοντας ιδίως στις επιπτώσεις στην αρχιτεκτονική διακυβέρνησης με αναφορά</w:t>
      </w:r>
      <w:r>
        <w:t xml:space="preserve"> σε θεσμικές, οργανωτικές και διαχειριστικές απαιτήσεις της Ε.Ε., κυρίως μέσω της ευρωπαϊκής πολιτικής συνοχής. Σημείο αφετηρίας αποτέλεσε ο χαμηλός βαθμός θεσμικής και λειτουργικής ανταπόκρισης της ελληνικής διοίκησης και η ανάγκη για προσαρμογές, στο πλαίσιο που έθετε η διαμόρφωση και υλοποίηση της πολιτικής συνοχής από την πρώιμη περίοδο ένταξης της χώρας στο ευρωπαϊκό οικοδόμημα. </w:t>
      </w:r>
    </w:p>
    <w:p w:rsidR="00E0754B" w:rsidRDefault="00E0754B" w:rsidP="00D81A27">
      <w:pPr>
        <w:spacing w:line="288" w:lineRule="auto"/>
      </w:pPr>
    </w:p>
    <w:p w:rsidR="00E0754B" w:rsidRDefault="00E0754B" w:rsidP="00D81A27">
      <w:pPr>
        <w:spacing w:line="288" w:lineRule="auto"/>
      </w:pPr>
      <w:r>
        <w:t>Παρ’ ότι δεν υπάρχει διακριτό πεδίο ευρωπαϊκής δημόσιας πολιτικής για τη διοίκηση, από την ανάλυση προέκυψε ότι η Ε.Ε. άσκησε επίδραση στο εγχώριο διοικητικό πεδίο</w:t>
      </w:r>
      <w:r w:rsidRPr="00D343B8">
        <w:t xml:space="preserve"> </w:t>
      </w:r>
      <w:r>
        <w:t xml:space="preserve">μέσω: α) ήπιων μηχανισμών πίεσης (εθελοντική μεταφορά πολιτικής, ανάδυση νέων θεσμικών δρώντων, πλαισίωση ιδεών και προσδοκιών), β) διάθεσης οικονομικών πόρων από τα διαρθρωτικά ταμεία ενισχύοντας τα κίνητρα για αλλαγή, ενώ καταρτίστηκαν και ειδικότερα επιχειρησιακά προγράμματα προώθησης διοικητικών αλλαγών, γ) εξαναγκαστικών μέτρων προσαρμογής, ιδιαίτερα κατά την περίοδο </w:t>
      </w:r>
      <w:r w:rsidRPr="00D343B8">
        <w:t>2010-</w:t>
      </w:r>
      <w:r>
        <w:t>2017 με την εφαρμογή μνημονίων χρηματοοικονομικής συνεργασίας, στα οποία η Ε.Ε. συμμετείχε ως (συν)εταίρος</w:t>
      </w:r>
      <w:r w:rsidRPr="00D343B8">
        <w:t xml:space="preserve">. </w:t>
      </w:r>
    </w:p>
    <w:p w:rsidR="00E0754B" w:rsidRDefault="00E0754B" w:rsidP="00D81A27">
      <w:pPr>
        <w:spacing w:line="288" w:lineRule="auto"/>
      </w:pPr>
    </w:p>
    <w:p w:rsidR="00E0754B" w:rsidRDefault="00E0754B" w:rsidP="00731484">
      <w:pPr>
        <w:spacing w:line="288" w:lineRule="auto"/>
      </w:pPr>
      <w:r>
        <w:t>Η επίδραση</w:t>
      </w:r>
      <w:r w:rsidRPr="00D343B8">
        <w:t xml:space="preserve"> </w:t>
      </w:r>
      <w:r>
        <w:t>εμφανίζεται</w:t>
      </w:r>
      <w:r w:rsidRPr="00D343B8">
        <w:t xml:space="preserve"> πολυεπίπεδη</w:t>
      </w:r>
      <w:r>
        <w:t xml:space="preserve">, δηλαδή αφορά όλα τα διοικητικά επίπεδα εξουσίας (αυτοδιοίκηση, </w:t>
      </w:r>
      <w:r w:rsidRPr="00D81A27">
        <w:t>αποσυγκεντρωμένες</w:t>
      </w:r>
      <w:r>
        <w:t xml:space="preserve"> αρχές και κεντρικό επίπεδο) και κατανέμεται ασύμμετρα εντός αυτών</w:t>
      </w:r>
      <w:r w:rsidRPr="00D343B8">
        <w:t xml:space="preserve">. </w:t>
      </w:r>
      <w:r>
        <w:t xml:space="preserve">Η Ε.Ε. έχει ευνοήσει σημαντικά την προώθηση θεσμικών μεταβολών κυρίως στο υποεθνικό διοίκησης, δίνοντας αρχικά υπόσταση (δημιουργία περιφερειών, ΟΤΑ Β΄ βαθμού) και έπειτα πλαισιώνοντας προσπάθειες ενδυνάμωσης των αυτοδιοικητικών θεσμών. Αναφορές στο υπόδειγμα της πολυεπίπεδης διακυβέρνησης εντοπίζονται συχνότερα σε εγχώρια θεσμικά (και μη) κείμενα. Σε κεντρικό επίπεδο, δράσεις ενίσχυσης της διοικητικής ικανότητας εμφανίζονται μέσω της ανάδυσης νέων δρώντων στο πεδίο της πολιτικής συνοχής (ΜΟΔ ΑΕ) και προσπαθειών μεταφοράς πολιτικής από διαρθρωτικά προγράμματα (ΚΠΣ) σε προγράμματα εκσυγχρονισμού της διοίκησης («Πολιτεία»). </w:t>
      </w:r>
    </w:p>
    <w:p w:rsidR="00E0754B" w:rsidRDefault="00E0754B" w:rsidP="00731484">
      <w:pPr>
        <w:spacing w:line="288" w:lineRule="auto"/>
      </w:pPr>
    </w:p>
    <w:p w:rsidR="00E0754B" w:rsidRDefault="00E0754B" w:rsidP="00731484">
      <w:pPr>
        <w:spacing w:line="288" w:lineRule="auto"/>
      </w:pPr>
      <w:r>
        <w:t>Κατά την περίοδο που η ελληνική οικονομία διέρχεται τη μεγαλύτερη μεταπολεμικά κρίση, η δημόσια διοίκηση υπόκειται σε αναγκαστικές προσαρμογές</w:t>
      </w:r>
      <w:r w:rsidRPr="00CC4211">
        <w:t xml:space="preserve"> </w:t>
      </w:r>
      <w:r>
        <w:t>όπου η Ε.Ε. (συν)επιδρά. Η δημοσιονομική συνιστώσα λειτουργίας του διοικητικού μηχανισμού μεταβάλλεται σημαντικά,</w:t>
      </w:r>
      <w:r w:rsidRPr="00EC3943">
        <w:t xml:space="preserve"> προς την κατεύθυνση του εξορθολογισμού και </w:t>
      </w:r>
      <w:r>
        <w:t>–</w:t>
      </w:r>
      <w:r w:rsidRPr="00EC3943">
        <w:t>κυρίως</w:t>
      </w:r>
      <w:r>
        <w:t>–</w:t>
      </w:r>
      <w:r w:rsidRPr="00EC3943">
        <w:t xml:space="preserve"> του περιορισμού του κόστους. </w:t>
      </w:r>
      <w:r>
        <w:t>Εν τούτοις, η ποιοτική διάσταση της λειτουργίας του, παρά τα επιμέρους μέτρα, δεν εμφανίζει ριζοσπαστικές μεταβολές, με συνέπεια οργανωτικές και λειτουργικές αδυναμίες να τείνουν προς αναπαραγωγή. Προκλήσεις που αφορούν τη θεσμική μετεξέλιξη της Ε.Ε. και τον τρόπο επίδρασής της στο εγχώριο διοικητικό σύστημα δύνανται να αποτελέσουν πεδίο μελλοντικής έρευνας.</w:t>
      </w:r>
    </w:p>
    <w:p w:rsidR="00E0754B" w:rsidRDefault="00E0754B" w:rsidP="00731484">
      <w:pPr>
        <w:spacing w:line="288" w:lineRule="auto"/>
      </w:pPr>
    </w:p>
    <w:p w:rsidR="00E0754B" w:rsidRDefault="00E0754B" w:rsidP="00731484">
      <w:pPr>
        <w:spacing w:line="288" w:lineRule="auto"/>
      </w:pPr>
    </w:p>
    <w:p w:rsidR="00E0754B" w:rsidRDefault="00E0754B" w:rsidP="00731484">
      <w:pPr>
        <w:spacing w:line="288" w:lineRule="auto"/>
      </w:pPr>
    </w:p>
    <w:p w:rsidR="00E0754B" w:rsidRPr="00352367" w:rsidRDefault="00E0754B" w:rsidP="00731484">
      <w:pPr>
        <w:spacing w:line="288" w:lineRule="auto"/>
        <w:rPr>
          <w:b/>
          <w:bCs/>
          <w:szCs w:val="28"/>
        </w:rPr>
      </w:pPr>
      <w:r w:rsidRPr="00352367">
        <w:rPr>
          <w:b/>
          <w:bCs/>
          <w:szCs w:val="28"/>
        </w:rPr>
        <w:br w:type="page"/>
      </w:r>
    </w:p>
    <w:p w:rsidR="00E0754B" w:rsidRPr="00E56145" w:rsidRDefault="00E0754B" w:rsidP="00273453">
      <w:pPr>
        <w:pStyle w:val="Heading1"/>
      </w:pPr>
      <w:bookmarkStart w:id="12" w:name="_Toc428454041"/>
      <w:bookmarkStart w:id="13" w:name="_Toc497685941"/>
      <w:r w:rsidRPr="000279F7">
        <w:t>Βιβλιογραφικές αναφορές</w:t>
      </w:r>
      <w:bookmarkEnd w:id="12"/>
      <w:bookmarkEnd w:id="13"/>
    </w:p>
    <w:p w:rsidR="00E0754B" w:rsidRPr="00A45195" w:rsidRDefault="00E0754B" w:rsidP="00731484">
      <w:pPr>
        <w:spacing w:line="288" w:lineRule="auto"/>
        <w:rPr>
          <w:b/>
        </w:rPr>
      </w:pPr>
      <w:r w:rsidRPr="00A45195">
        <w:rPr>
          <w:b/>
        </w:rPr>
        <w:t>Ξενόγλωσσες</w:t>
      </w:r>
    </w:p>
    <w:p w:rsidR="00E0754B" w:rsidRPr="00811FCE" w:rsidRDefault="00E0754B" w:rsidP="00811FCE">
      <w:pPr>
        <w:pStyle w:val="Bibliography"/>
        <w:rPr>
          <w:noProof/>
          <w:lang w:val="en-US"/>
        </w:rPr>
      </w:pPr>
      <w:r w:rsidRPr="00811FCE">
        <w:rPr>
          <w:noProof/>
          <w:lang w:val="en-US"/>
        </w:rPr>
        <w:t xml:space="preserve">Andreou, G. (2006). "EU Cohesion Policy in Greece: Patterns of Governance and Europeanization". </w:t>
      </w:r>
      <w:r w:rsidRPr="00811FCE">
        <w:rPr>
          <w:i/>
          <w:iCs/>
          <w:noProof/>
          <w:lang w:val="en-US"/>
        </w:rPr>
        <w:t>South European Society and Politics</w:t>
      </w:r>
      <w:r w:rsidRPr="00811FCE">
        <w:rPr>
          <w:noProof/>
          <w:lang w:val="en-US"/>
        </w:rPr>
        <w:t xml:space="preserve"> </w:t>
      </w:r>
      <w:r w:rsidRPr="00811FCE">
        <w:rPr>
          <w:i/>
          <w:iCs/>
          <w:noProof/>
          <w:lang w:val="en-US"/>
        </w:rPr>
        <w:t>, 11</w:t>
      </w:r>
      <w:r w:rsidRPr="00811FCE">
        <w:rPr>
          <w:noProof/>
          <w:lang w:val="en-US"/>
        </w:rPr>
        <w:t xml:space="preserve"> (2), </w:t>
      </w:r>
      <w:r>
        <w:rPr>
          <w:noProof/>
        </w:rPr>
        <w:t>σσ</w:t>
      </w:r>
      <w:r w:rsidRPr="00811FCE">
        <w:rPr>
          <w:noProof/>
          <w:lang w:val="en-US"/>
        </w:rPr>
        <w:t>. 241-259.</w:t>
      </w:r>
    </w:p>
    <w:p w:rsidR="00E0754B" w:rsidRPr="00811FCE" w:rsidRDefault="00E0754B" w:rsidP="00811FCE">
      <w:pPr>
        <w:pStyle w:val="Bibliography"/>
        <w:rPr>
          <w:noProof/>
          <w:lang w:val="en-US"/>
        </w:rPr>
      </w:pPr>
      <w:r w:rsidRPr="00811FCE">
        <w:rPr>
          <w:noProof/>
          <w:lang w:val="en-US"/>
        </w:rPr>
        <w:t xml:space="preserve">Andreou, G. (2010). "The Domestic Effects of EU Cohesion Policy in Greece: Islands of Europeanization in a Sea of Traditional Practices". </w:t>
      </w:r>
      <w:r w:rsidRPr="00811FCE">
        <w:rPr>
          <w:i/>
          <w:iCs/>
          <w:noProof/>
          <w:lang w:val="en-US"/>
        </w:rPr>
        <w:t>Southeast European and Black Sea Studies</w:t>
      </w:r>
      <w:r w:rsidRPr="00811FCE">
        <w:rPr>
          <w:noProof/>
          <w:lang w:val="en-US"/>
        </w:rPr>
        <w:t xml:space="preserve"> </w:t>
      </w:r>
      <w:r w:rsidRPr="00811FCE">
        <w:rPr>
          <w:i/>
          <w:iCs/>
          <w:noProof/>
          <w:lang w:val="en-US"/>
        </w:rPr>
        <w:t>, 10</w:t>
      </w:r>
      <w:r w:rsidRPr="00811FCE">
        <w:rPr>
          <w:noProof/>
          <w:lang w:val="en-US"/>
        </w:rPr>
        <w:t xml:space="preserve"> (1), </w:t>
      </w:r>
      <w:r>
        <w:rPr>
          <w:noProof/>
        </w:rPr>
        <w:t>σσ</w:t>
      </w:r>
      <w:r w:rsidRPr="00811FCE">
        <w:rPr>
          <w:noProof/>
          <w:lang w:val="en-US"/>
        </w:rPr>
        <w:t>. 13-27.</w:t>
      </w:r>
    </w:p>
    <w:p w:rsidR="00E0754B" w:rsidRPr="00811FCE" w:rsidRDefault="00E0754B" w:rsidP="00811FCE">
      <w:pPr>
        <w:pStyle w:val="Bibliography"/>
        <w:rPr>
          <w:noProof/>
          <w:lang w:val="en-US"/>
        </w:rPr>
      </w:pPr>
      <w:r w:rsidRPr="00811FCE">
        <w:rPr>
          <w:noProof/>
          <w:lang w:val="en-US"/>
        </w:rPr>
        <w:t xml:space="preserve">Andreou, G. (2016). “The Governance Effects of EU Cohesion Policy in Greece; The Horizontal Dimension”. </w:t>
      </w:r>
      <w:r>
        <w:rPr>
          <w:noProof/>
        </w:rPr>
        <w:t>Στο</w:t>
      </w:r>
      <w:r w:rsidRPr="00811FCE">
        <w:rPr>
          <w:noProof/>
          <w:lang w:val="en-US"/>
        </w:rPr>
        <w:t xml:space="preserve"> P. Liargovas, S. Petropoulos, N. Tzifakis, &amp; A. Huliaras (</w:t>
      </w:r>
      <w:r>
        <w:rPr>
          <w:noProof/>
        </w:rPr>
        <w:t>Επιμ</w:t>
      </w:r>
      <w:r w:rsidRPr="00811FCE">
        <w:rPr>
          <w:noProof/>
          <w:lang w:val="en-US"/>
        </w:rPr>
        <w:t xml:space="preserve">.), </w:t>
      </w:r>
      <w:r w:rsidRPr="00811FCE">
        <w:rPr>
          <w:i/>
          <w:iCs/>
          <w:noProof/>
          <w:lang w:val="en-US"/>
        </w:rPr>
        <w:t>Beyond “Absorption” – The Impact of EU Structural Funds on Greece</w:t>
      </w:r>
      <w:r w:rsidRPr="00811FCE">
        <w:rPr>
          <w:noProof/>
          <w:lang w:val="en-US"/>
        </w:rPr>
        <w:t xml:space="preserve"> (</w:t>
      </w:r>
      <w:r>
        <w:rPr>
          <w:noProof/>
        </w:rPr>
        <w:t>σσ</w:t>
      </w:r>
      <w:r w:rsidRPr="00811FCE">
        <w:rPr>
          <w:noProof/>
          <w:lang w:val="en-US"/>
        </w:rPr>
        <w:t>. 79-95). Sankt Augustin/Berlin: Konrad-Adenauer-Stiftung.</w:t>
      </w:r>
    </w:p>
    <w:p w:rsidR="00E0754B" w:rsidRDefault="00E0754B" w:rsidP="00811FCE">
      <w:pPr>
        <w:pStyle w:val="Bibliography"/>
        <w:rPr>
          <w:noProof/>
          <w:lang w:val="en-US"/>
        </w:rPr>
      </w:pPr>
      <w:r>
        <w:rPr>
          <w:noProof/>
          <w:lang w:val="en-US"/>
        </w:rPr>
        <w:t xml:space="preserve">Börzel, T., &amp; Risse, T. (2003). "Conceptualising the Domestic Impact of Europe". In K. Featherstone, &amp; Radaelli.C. (Eds.), </w:t>
      </w:r>
      <w:r>
        <w:rPr>
          <w:i/>
          <w:iCs/>
          <w:noProof/>
          <w:lang w:val="en-US"/>
        </w:rPr>
        <w:t>The Politics of Europeanization</w:t>
      </w:r>
      <w:r>
        <w:rPr>
          <w:noProof/>
          <w:lang w:val="en-US"/>
        </w:rPr>
        <w:t xml:space="preserve"> (</w:t>
      </w:r>
      <w:r>
        <w:rPr>
          <w:noProof/>
        </w:rPr>
        <w:t>σσ</w:t>
      </w:r>
      <w:r>
        <w:rPr>
          <w:noProof/>
          <w:lang w:val="en-US"/>
        </w:rPr>
        <w:t>. 57-82). Oxford: Oxford University Press.</w:t>
      </w:r>
    </w:p>
    <w:p w:rsidR="00E0754B" w:rsidRDefault="00E0754B" w:rsidP="00811FCE">
      <w:pPr>
        <w:pStyle w:val="Bibliography"/>
        <w:rPr>
          <w:noProof/>
          <w:lang w:val="en-US"/>
        </w:rPr>
      </w:pPr>
      <w:r>
        <w:rPr>
          <w:noProof/>
          <w:lang w:val="en-US"/>
        </w:rPr>
        <w:t xml:space="preserve">Dimitrova, A. (2002). "Enlargement, Institution-Building and the EU's Administrative Capacity Requirement". </w:t>
      </w:r>
      <w:r>
        <w:rPr>
          <w:i/>
          <w:iCs/>
          <w:noProof/>
          <w:lang w:val="en-US"/>
        </w:rPr>
        <w:t>West European Politics</w:t>
      </w:r>
      <w:r>
        <w:rPr>
          <w:noProof/>
          <w:lang w:val="en-US"/>
        </w:rPr>
        <w:t xml:space="preserve"> </w:t>
      </w:r>
      <w:r>
        <w:rPr>
          <w:i/>
          <w:iCs/>
          <w:noProof/>
          <w:lang w:val="en-US"/>
        </w:rPr>
        <w:t>, 25</w:t>
      </w:r>
      <w:r>
        <w:rPr>
          <w:noProof/>
          <w:lang w:val="en-US"/>
        </w:rPr>
        <w:t xml:space="preserve"> (4), </w:t>
      </w:r>
      <w:r>
        <w:rPr>
          <w:noProof/>
        </w:rPr>
        <w:t>σσ</w:t>
      </w:r>
      <w:r>
        <w:rPr>
          <w:noProof/>
          <w:lang w:val="en-US"/>
        </w:rPr>
        <w:t>. 171-190.</w:t>
      </w:r>
    </w:p>
    <w:p w:rsidR="00E0754B" w:rsidRDefault="00E0754B" w:rsidP="00811FCE">
      <w:pPr>
        <w:pStyle w:val="Bibliography"/>
        <w:rPr>
          <w:noProof/>
          <w:lang w:val="en-US"/>
        </w:rPr>
      </w:pPr>
      <w:r>
        <w:rPr>
          <w:noProof/>
          <w:lang w:val="en-US"/>
        </w:rPr>
        <w:t xml:space="preserve">Dolowitz, D., &amp; Marsh, D. (1996). "Who Learns What from Whom: a Review of the Policy Transfer Literature". </w:t>
      </w:r>
      <w:r>
        <w:rPr>
          <w:i/>
          <w:iCs/>
          <w:noProof/>
          <w:lang w:val="en-US"/>
        </w:rPr>
        <w:t>Political Studies</w:t>
      </w:r>
      <w:r>
        <w:rPr>
          <w:noProof/>
          <w:lang w:val="en-US"/>
        </w:rPr>
        <w:t xml:space="preserve"> </w:t>
      </w:r>
      <w:r>
        <w:rPr>
          <w:i/>
          <w:iCs/>
          <w:noProof/>
          <w:lang w:val="en-US"/>
        </w:rPr>
        <w:t>, 44</w:t>
      </w:r>
      <w:r>
        <w:rPr>
          <w:noProof/>
          <w:lang w:val="en-US"/>
        </w:rPr>
        <w:t xml:space="preserve"> (2), </w:t>
      </w:r>
      <w:r>
        <w:rPr>
          <w:noProof/>
        </w:rPr>
        <w:t>σσ</w:t>
      </w:r>
      <w:r>
        <w:rPr>
          <w:noProof/>
          <w:lang w:val="en-US"/>
        </w:rPr>
        <w:t>. 343-357.</w:t>
      </w:r>
    </w:p>
    <w:p w:rsidR="00E0754B" w:rsidRPr="00811FCE" w:rsidRDefault="00E0754B" w:rsidP="00811FCE">
      <w:pPr>
        <w:pStyle w:val="Bibliography"/>
        <w:rPr>
          <w:noProof/>
          <w:lang w:val="en-US"/>
        </w:rPr>
      </w:pPr>
      <w:r w:rsidRPr="00811FCE">
        <w:rPr>
          <w:noProof/>
          <w:lang w:val="en-US"/>
        </w:rPr>
        <w:t xml:space="preserve">European Commission. (2007). </w:t>
      </w:r>
      <w:r w:rsidRPr="00811FCE">
        <w:rPr>
          <w:i/>
          <w:iCs/>
          <w:noProof/>
          <w:lang w:val="en-US"/>
        </w:rPr>
        <w:t>EU Enlargement and Multi-level Governance in European Regional and Environment Policies: Patterns of Learning, Adaptation and Europeanization Among Cohesion Countries (Greece, Ireland, Portugal) and Lessons for New Members (Hungary, Poland); ADAPT report.</w:t>
      </w:r>
      <w:r w:rsidRPr="00811FCE">
        <w:rPr>
          <w:noProof/>
          <w:lang w:val="en-US"/>
        </w:rPr>
        <w:t xml:space="preserve"> Brussels: European Commission.</w:t>
      </w:r>
    </w:p>
    <w:p w:rsidR="00E0754B" w:rsidRPr="00811FCE" w:rsidRDefault="00E0754B" w:rsidP="00811FCE">
      <w:pPr>
        <w:pStyle w:val="Bibliography"/>
        <w:rPr>
          <w:noProof/>
          <w:lang w:val="en-US"/>
        </w:rPr>
      </w:pPr>
      <w:r w:rsidRPr="00811FCE">
        <w:rPr>
          <w:noProof/>
          <w:lang w:val="en-US"/>
        </w:rPr>
        <w:t xml:space="preserve">Getimis, P., Paraskevopoulos, C., &amp; Rees, N. (2006). "Domestic Government Structures and Policy Learning East and West: The Limits of Europeanization". </w:t>
      </w:r>
      <w:r>
        <w:rPr>
          <w:noProof/>
        </w:rPr>
        <w:t>Στο</w:t>
      </w:r>
      <w:r w:rsidRPr="00811FCE">
        <w:rPr>
          <w:noProof/>
          <w:lang w:val="en-US"/>
        </w:rPr>
        <w:t xml:space="preserve"> C. Paraskevopoulos, P. Getimis, &amp; N. Rees (</w:t>
      </w:r>
      <w:r>
        <w:rPr>
          <w:noProof/>
        </w:rPr>
        <w:t>Επιμ</w:t>
      </w:r>
      <w:r w:rsidRPr="00811FCE">
        <w:rPr>
          <w:noProof/>
          <w:lang w:val="en-US"/>
        </w:rPr>
        <w:t xml:space="preserve">.), </w:t>
      </w:r>
      <w:r w:rsidRPr="00811FCE">
        <w:rPr>
          <w:i/>
          <w:iCs/>
          <w:noProof/>
          <w:lang w:val="en-US"/>
        </w:rPr>
        <w:t>Adapting to EU Multi-Level Governance - Regional and Environmental Policies in Cohesion and CEE Countries</w:t>
      </w:r>
      <w:r w:rsidRPr="00811FCE">
        <w:rPr>
          <w:noProof/>
          <w:lang w:val="en-US"/>
        </w:rPr>
        <w:t xml:space="preserve"> (</w:t>
      </w:r>
      <w:r>
        <w:rPr>
          <w:noProof/>
        </w:rPr>
        <w:t>σσ</w:t>
      </w:r>
      <w:r w:rsidRPr="00811FCE">
        <w:rPr>
          <w:noProof/>
          <w:lang w:val="en-US"/>
        </w:rPr>
        <w:t>. 259-266). Hampshire: Ashgate.</w:t>
      </w:r>
    </w:p>
    <w:p w:rsidR="00E0754B" w:rsidRDefault="00E0754B" w:rsidP="00811FCE">
      <w:pPr>
        <w:pStyle w:val="Bibliography"/>
        <w:rPr>
          <w:noProof/>
          <w:lang w:val="en-US"/>
        </w:rPr>
      </w:pPr>
      <w:r>
        <w:rPr>
          <w:noProof/>
          <w:lang w:val="en-US"/>
        </w:rPr>
        <w:t xml:space="preserve">Hooghe, L., &amp; Marks, G. (2001). </w:t>
      </w:r>
      <w:r>
        <w:rPr>
          <w:i/>
          <w:iCs/>
          <w:noProof/>
          <w:lang w:val="en-US"/>
        </w:rPr>
        <w:t>Multi-Level Gonvernance and European Integration.</w:t>
      </w:r>
      <w:r>
        <w:rPr>
          <w:noProof/>
          <w:lang w:val="en-US"/>
        </w:rPr>
        <w:t xml:space="preserve"> Oxford: Rowman &amp; Littlefield Publishers. </w:t>
      </w:r>
    </w:p>
    <w:p w:rsidR="00E0754B" w:rsidRDefault="00E0754B" w:rsidP="00811FCE">
      <w:pPr>
        <w:pStyle w:val="Bibliography"/>
        <w:rPr>
          <w:noProof/>
          <w:lang w:val="en-US"/>
        </w:rPr>
      </w:pPr>
      <w:r w:rsidRPr="00B80CF2">
        <w:rPr>
          <w:noProof/>
          <w:lang w:val="en-US"/>
        </w:rPr>
        <w:t>Hooghe, L., &amp; Marks, G. (2003). "Unraveling the Central State but How? Types of Multilevel Govenrnance". American Political Science Review , 97 (2), σσ. 233‐43.</w:t>
      </w:r>
    </w:p>
    <w:p w:rsidR="00E0754B" w:rsidRPr="00811FCE" w:rsidRDefault="00E0754B" w:rsidP="00811FCE">
      <w:pPr>
        <w:pStyle w:val="Bibliography"/>
        <w:rPr>
          <w:noProof/>
          <w:lang w:val="en-US"/>
        </w:rPr>
      </w:pPr>
      <w:r w:rsidRPr="00811FCE">
        <w:rPr>
          <w:noProof/>
          <w:lang w:val="en-US"/>
        </w:rPr>
        <w:t xml:space="preserve">Kassim, H. (2003). "The European Administration: Between Europeanization and Domestication". </w:t>
      </w:r>
      <w:r>
        <w:rPr>
          <w:noProof/>
        </w:rPr>
        <w:t>Στο</w:t>
      </w:r>
      <w:r w:rsidRPr="00811FCE">
        <w:rPr>
          <w:noProof/>
          <w:lang w:val="en-US"/>
        </w:rPr>
        <w:t xml:space="preserve"> J. Hayward, &amp; A. Menon (</w:t>
      </w:r>
      <w:r>
        <w:rPr>
          <w:noProof/>
        </w:rPr>
        <w:t>Επιμ</w:t>
      </w:r>
      <w:r w:rsidRPr="00811FCE">
        <w:rPr>
          <w:noProof/>
          <w:lang w:val="en-US"/>
        </w:rPr>
        <w:t xml:space="preserve">.), </w:t>
      </w:r>
      <w:r w:rsidRPr="00811FCE">
        <w:rPr>
          <w:i/>
          <w:iCs/>
          <w:noProof/>
          <w:lang w:val="en-US"/>
        </w:rPr>
        <w:t>Governing Europe</w:t>
      </w:r>
      <w:r w:rsidRPr="00811FCE">
        <w:rPr>
          <w:noProof/>
          <w:lang w:val="en-US"/>
        </w:rPr>
        <w:t xml:space="preserve"> (</w:t>
      </w:r>
      <w:r>
        <w:rPr>
          <w:noProof/>
        </w:rPr>
        <w:t>σσ</w:t>
      </w:r>
      <w:r w:rsidRPr="00811FCE">
        <w:rPr>
          <w:noProof/>
          <w:lang w:val="en-US"/>
        </w:rPr>
        <w:t>. 139-161). Oxford: Oxford University Press.</w:t>
      </w:r>
    </w:p>
    <w:p w:rsidR="00E0754B" w:rsidRPr="00811FCE" w:rsidRDefault="00E0754B" w:rsidP="00811FCE">
      <w:pPr>
        <w:pStyle w:val="Bibliography"/>
        <w:rPr>
          <w:noProof/>
          <w:lang w:val="en-US"/>
        </w:rPr>
      </w:pPr>
      <w:r w:rsidRPr="00811FCE">
        <w:rPr>
          <w:noProof/>
          <w:lang w:val="en-US"/>
        </w:rPr>
        <w:t xml:space="preserve">Knill, C. (2001). </w:t>
      </w:r>
      <w:r w:rsidRPr="00811FCE">
        <w:rPr>
          <w:i/>
          <w:iCs/>
          <w:noProof/>
          <w:lang w:val="en-US"/>
        </w:rPr>
        <w:t>The Europeanization of National Administrations.</w:t>
      </w:r>
      <w:r w:rsidRPr="00811FCE">
        <w:rPr>
          <w:noProof/>
          <w:lang w:val="en-US"/>
        </w:rPr>
        <w:t xml:space="preserve"> Cambridge: Cambridge University Press.</w:t>
      </w:r>
    </w:p>
    <w:p w:rsidR="00E0754B" w:rsidRDefault="00E0754B" w:rsidP="00811FCE">
      <w:pPr>
        <w:pStyle w:val="Bibliography"/>
        <w:rPr>
          <w:noProof/>
          <w:lang w:val="en-US"/>
        </w:rPr>
      </w:pPr>
      <w:r>
        <w:rPr>
          <w:noProof/>
          <w:lang w:val="en-US"/>
        </w:rPr>
        <w:t xml:space="preserve">Knill, C., &amp; Lehmkuhl, D. (2002). “The National Impact of EU Regulatory Policy: Three Mechanisms”. </w:t>
      </w:r>
      <w:r>
        <w:rPr>
          <w:i/>
          <w:iCs/>
          <w:noProof/>
          <w:lang w:val="en-US"/>
        </w:rPr>
        <w:t>European Journal of Political Research</w:t>
      </w:r>
      <w:r>
        <w:rPr>
          <w:noProof/>
          <w:lang w:val="en-US"/>
        </w:rPr>
        <w:t xml:space="preserve"> </w:t>
      </w:r>
      <w:r>
        <w:rPr>
          <w:i/>
          <w:iCs/>
          <w:noProof/>
          <w:lang w:val="en-US"/>
        </w:rPr>
        <w:t>, 41</w:t>
      </w:r>
      <w:r>
        <w:rPr>
          <w:noProof/>
          <w:lang w:val="en-US"/>
        </w:rPr>
        <w:t xml:space="preserve"> (2), </w:t>
      </w:r>
      <w:r>
        <w:rPr>
          <w:noProof/>
        </w:rPr>
        <w:t>σσ</w:t>
      </w:r>
      <w:r>
        <w:rPr>
          <w:noProof/>
          <w:lang w:val="en-US"/>
        </w:rPr>
        <w:t>. 255-280.</w:t>
      </w:r>
    </w:p>
    <w:p w:rsidR="00E0754B" w:rsidRPr="00811FCE" w:rsidRDefault="00E0754B" w:rsidP="00811FCE">
      <w:pPr>
        <w:pStyle w:val="Bibliography"/>
        <w:rPr>
          <w:noProof/>
          <w:lang w:val="en-US"/>
        </w:rPr>
      </w:pPr>
      <w:r w:rsidRPr="00811FCE">
        <w:rPr>
          <w:noProof/>
          <w:lang w:val="en-US"/>
        </w:rPr>
        <w:t xml:space="preserve">Ladi, S. (2014). "Austerity Politics and Administrative Reform: The Eurozone Crisis and its Impact upon Greek Public Administration". </w:t>
      </w:r>
      <w:r w:rsidRPr="00811FCE">
        <w:rPr>
          <w:i/>
          <w:iCs/>
          <w:noProof/>
          <w:lang w:val="en-US"/>
        </w:rPr>
        <w:t>Comparative European Politics</w:t>
      </w:r>
      <w:r w:rsidRPr="00811FCE">
        <w:rPr>
          <w:noProof/>
          <w:lang w:val="en-US"/>
        </w:rPr>
        <w:t xml:space="preserve"> </w:t>
      </w:r>
      <w:r w:rsidRPr="00811FCE">
        <w:rPr>
          <w:i/>
          <w:iCs/>
          <w:noProof/>
          <w:lang w:val="en-US"/>
        </w:rPr>
        <w:t>, 12</w:t>
      </w:r>
      <w:r w:rsidRPr="00811FCE">
        <w:rPr>
          <w:noProof/>
          <w:lang w:val="en-US"/>
        </w:rPr>
        <w:t xml:space="preserve"> (2), </w:t>
      </w:r>
      <w:r>
        <w:rPr>
          <w:noProof/>
        </w:rPr>
        <w:t>σσ</w:t>
      </w:r>
      <w:r w:rsidRPr="00811FCE">
        <w:rPr>
          <w:noProof/>
          <w:lang w:val="en-US"/>
        </w:rPr>
        <w:t>. 184-208.</w:t>
      </w:r>
    </w:p>
    <w:p w:rsidR="00E0754B" w:rsidRDefault="00E0754B" w:rsidP="00952905">
      <w:pPr>
        <w:pStyle w:val="Bibliography"/>
        <w:rPr>
          <w:noProof/>
          <w:lang w:val="en-US"/>
        </w:rPr>
      </w:pPr>
      <w:r w:rsidRPr="00952905">
        <w:rPr>
          <w:noProof/>
          <w:lang w:val="en-US"/>
        </w:rPr>
        <w:t>Lampropoulou, M., &amp; Oikonomou, G. (2016). "Theoretical Models of Public Administration and Patterns of State Reform in Greece". International Journal of</w:t>
      </w:r>
      <w:r>
        <w:rPr>
          <w:noProof/>
        </w:rPr>
        <w:t xml:space="preserve"> </w:t>
      </w:r>
      <w:r w:rsidRPr="00952905">
        <w:rPr>
          <w:noProof/>
          <w:lang w:val="en-US"/>
        </w:rPr>
        <w:t xml:space="preserve">Administrative Sciences </w:t>
      </w:r>
      <w:r>
        <w:rPr>
          <w:noProof/>
          <w:lang w:val="en-US"/>
        </w:rPr>
        <w:t>, DOI: 10.1177/0020852315611219.</w:t>
      </w:r>
    </w:p>
    <w:p w:rsidR="00E0754B" w:rsidRPr="00811FCE" w:rsidRDefault="00E0754B" w:rsidP="00811FCE">
      <w:pPr>
        <w:pStyle w:val="Bibliography"/>
        <w:rPr>
          <w:noProof/>
          <w:lang w:val="en-US"/>
        </w:rPr>
      </w:pPr>
      <w:r w:rsidRPr="00811FCE">
        <w:rPr>
          <w:noProof/>
          <w:lang w:val="en-US"/>
        </w:rPr>
        <w:t xml:space="preserve">Mannozzi, S. (2005). "Greece". </w:t>
      </w:r>
      <w:r>
        <w:rPr>
          <w:noProof/>
        </w:rPr>
        <w:t>Στο</w:t>
      </w:r>
      <w:r w:rsidRPr="00811FCE">
        <w:rPr>
          <w:noProof/>
          <w:lang w:val="en-US"/>
        </w:rPr>
        <w:t xml:space="preserve"> Instituto_di_Studi_sui_Sistemi_Regionali_Federali</w:t>
      </w:r>
      <w:r w:rsidRPr="00952905">
        <w:rPr>
          <w:noProof/>
          <w:lang w:val="en-US"/>
        </w:rPr>
        <w:t xml:space="preserve"> </w:t>
      </w:r>
      <w:r w:rsidRPr="00811FCE">
        <w:rPr>
          <w:noProof/>
          <w:lang w:val="en-US"/>
        </w:rPr>
        <w:t>_e_sulle_Autonomie (</w:t>
      </w:r>
      <w:r>
        <w:rPr>
          <w:noProof/>
        </w:rPr>
        <w:t>Επιμ</w:t>
      </w:r>
      <w:r w:rsidRPr="00811FCE">
        <w:rPr>
          <w:noProof/>
          <w:lang w:val="en-US"/>
        </w:rPr>
        <w:t xml:space="preserve">.), </w:t>
      </w:r>
      <w:r w:rsidRPr="00811FCE">
        <w:rPr>
          <w:i/>
          <w:iCs/>
          <w:noProof/>
          <w:lang w:val="en-US"/>
        </w:rPr>
        <w:t>Procedures for Local and Regional Authority Participation in European Policy Making in the Member States</w:t>
      </w:r>
      <w:r w:rsidRPr="00811FCE">
        <w:rPr>
          <w:noProof/>
          <w:lang w:val="en-US"/>
        </w:rPr>
        <w:t xml:space="preserve"> (</w:t>
      </w:r>
      <w:r>
        <w:rPr>
          <w:noProof/>
        </w:rPr>
        <w:t>σσ</w:t>
      </w:r>
      <w:r w:rsidRPr="00811FCE">
        <w:rPr>
          <w:noProof/>
          <w:lang w:val="en-US"/>
        </w:rPr>
        <w:t>. 173-188). Luxembourg: Committee of the Regions.</w:t>
      </w:r>
    </w:p>
    <w:p w:rsidR="00E0754B" w:rsidRDefault="00E0754B" w:rsidP="00811FCE">
      <w:pPr>
        <w:pStyle w:val="Bibliography"/>
        <w:rPr>
          <w:noProof/>
          <w:lang w:val="en-US"/>
        </w:rPr>
      </w:pPr>
      <w:r>
        <w:rPr>
          <w:noProof/>
          <w:lang w:val="en-US"/>
        </w:rPr>
        <w:t xml:space="preserve">OECD. (1999). </w:t>
      </w:r>
      <w:r>
        <w:rPr>
          <w:i/>
          <w:iCs/>
          <w:noProof/>
          <w:lang w:val="en-US"/>
        </w:rPr>
        <w:t>European Principles for Public Administration.</w:t>
      </w:r>
      <w:r>
        <w:rPr>
          <w:noProof/>
          <w:lang w:val="en-US"/>
        </w:rPr>
        <w:t xml:space="preserve"> SIGMA Papers, No 27. Paris: OECD Publishing.</w:t>
      </w:r>
    </w:p>
    <w:p w:rsidR="00E0754B" w:rsidRDefault="00E0754B" w:rsidP="00811FCE">
      <w:pPr>
        <w:pStyle w:val="Bibliography"/>
        <w:rPr>
          <w:noProof/>
        </w:rPr>
      </w:pPr>
      <w:r w:rsidRPr="00811FCE">
        <w:rPr>
          <w:noProof/>
          <w:lang w:val="en-US"/>
        </w:rPr>
        <w:t xml:space="preserve">OECD. (2011). </w:t>
      </w:r>
      <w:r w:rsidRPr="00811FCE">
        <w:rPr>
          <w:i/>
          <w:iCs/>
          <w:noProof/>
          <w:lang w:val="en-US"/>
        </w:rPr>
        <w:t>Greece: Review of the Central Administration.</w:t>
      </w:r>
      <w:r w:rsidRPr="00811FCE">
        <w:rPr>
          <w:noProof/>
          <w:lang w:val="en-US"/>
        </w:rPr>
        <w:t xml:space="preserve"> Paris: OECD.</w:t>
      </w:r>
      <w:r w:rsidRPr="00DC2757">
        <w:rPr>
          <w:noProof/>
          <w:lang w:val="en-US"/>
        </w:rPr>
        <w:t xml:space="preserve"> </w:t>
      </w:r>
    </w:p>
    <w:p w:rsidR="00E0754B" w:rsidRPr="00DC2757" w:rsidRDefault="00E0754B" w:rsidP="00811FCE">
      <w:pPr>
        <w:pStyle w:val="Bibliography"/>
        <w:rPr>
          <w:noProof/>
        </w:rPr>
      </w:pPr>
      <w:r w:rsidRPr="00DC2757">
        <w:rPr>
          <w:noProof/>
          <w:lang w:val="en-US"/>
        </w:rPr>
        <w:t xml:space="preserve">Oikonomou, G. (2016). "Bypassing a Centralised State: The Case of the Greek Subnational Mobilisation in the European Union". </w:t>
      </w:r>
      <w:r>
        <w:rPr>
          <w:noProof/>
        </w:rPr>
        <w:t>Regional and Federal Studies</w:t>
      </w:r>
      <w:r w:rsidRPr="00DC2757">
        <w:rPr>
          <w:noProof/>
        </w:rPr>
        <w:t>, 26 (1), σσ. 73‐94.</w:t>
      </w:r>
    </w:p>
    <w:p w:rsidR="00E0754B" w:rsidRPr="00811FCE" w:rsidRDefault="00E0754B" w:rsidP="00811FCE">
      <w:pPr>
        <w:pStyle w:val="Bibliography"/>
        <w:rPr>
          <w:noProof/>
          <w:lang w:val="en-US"/>
        </w:rPr>
      </w:pPr>
      <w:r w:rsidRPr="00811FCE">
        <w:rPr>
          <w:noProof/>
          <w:lang w:val="en-US"/>
        </w:rPr>
        <w:t xml:space="preserve">Olsen, J. (2003). "Towards a European Administrative Space?". </w:t>
      </w:r>
      <w:r w:rsidRPr="00811FCE">
        <w:rPr>
          <w:i/>
          <w:iCs/>
          <w:noProof/>
          <w:lang w:val="en-US"/>
        </w:rPr>
        <w:t>Journal of European Public Policy</w:t>
      </w:r>
      <w:r w:rsidRPr="00811FCE">
        <w:rPr>
          <w:noProof/>
          <w:lang w:val="en-US"/>
        </w:rPr>
        <w:t xml:space="preserve"> </w:t>
      </w:r>
      <w:r w:rsidRPr="00811FCE">
        <w:rPr>
          <w:i/>
          <w:iCs/>
          <w:noProof/>
          <w:lang w:val="en-US"/>
        </w:rPr>
        <w:t>, 10</w:t>
      </w:r>
      <w:r w:rsidRPr="00811FCE">
        <w:rPr>
          <w:noProof/>
          <w:lang w:val="en-US"/>
        </w:rPr>
        <w:t xml:space="preserve"> (4), </w:t>
      </w:r>
      <w:r>
        <w:rPr>
          <w:noProof/>
        </w:rPr>
        <w:t>σσ</w:t>
      </w:r>
      <w:r w:rsidRPr="00811FCE">
        <w:rPr>
          <w:noProof/>
          <w:lang w:val="en-US"/>
        </w:rPr>
        <w:t>. 506-531.</w:t>
      </w:r>
    </w:p>
    <w:p w:rsidR="00E0754B" w:rsidRPr="00811FCE" w:rsidRDefault="00E0754B" w:rsidP="00811FCE">
      <w:pPr>
        <w:pStyle w:val="Bibliography"/>
        <w:rPr>
          <w:noProof/>
          <w:lang w:val="en-US"/>
        </w:rPr>
      </w:pPr>
      <w:r w:rsidRPr="00811FCE">
        <w:rPr>
          <w:noProof/>
          <w:lang w:val="en-US"/>
        </w:rPr>
        <w:t xml:space="preserve">Page, E. (2003). "Europeanization and the Persistence of Administrative Systems". </w:t>
      </w:r>
      <w:r>
        <w:rPr>
          <w:noProof/>
        </w:rPr>
        <w:t>Στο</w:t>
      </w:r>
      <w:r w:rsidRPr="00811FCE">
        <w:rPr>
          <w:noProof/>
          <w:lang w:val="en-US"/>
        </w:rPr>
        <w:t xml:space="preserve"> J. Hayward, &amp; A. Menon (</w:t>
      </w:r>
      <w:r>
        <w:rPr>
          <w:noProof/>
        </w:rPr>
        <w:t>Επιμ</w:t>
      </w:r>
      <w:r w:rsidRPr="00811FCE">
        <w:rPr>
          <w:noProof/>
          <w:lang w:val="en-US"/>
        </w:rPr>
        <w:t xml:space="preserve">.), </w:t>
      </w:r>
      <w:r w:rsidRPr="00811FCE">
        <w:rPr>
          <w:i/>
          <w:iCs/>
          <w:noProof/>
          <w:lang w:val="en-US"/>
        </w:rPr>
        <w:t>Governing Europe</w:t>
      </w:r>
      <w:r w:rsidRPr="00811FCE">
        <w:rPr>
          <w:noProof/>
          <w:lang w:val="en-US"/>
        </w:rPr>
        <w:t xml:space="preserve"> (</w:t>
      </w:r>
      <w:r>
        <w:rPr>
          <w:noProof/>
        </w:rPr>
        <w:t>σσ</w:t>
      </w:r>
      <w:r w:rsidRPr="00811FCE">
        <w:rPr>
          <w:noProof/>
          <w:lang w:val="en-US"/>
        </w:rPr>
        <w:t>. 162-176). Oxford: Oxford University Press.</w:t>
      </w:r>
    </w:p>
    <w:p w:rsidR="00E0754B" w:rsidRDefault="00E0754B" w:rsidP="00811FCE">
      <w:pPr>
        <w:pStyle w:val="Bibliography"/>
        <w:rPr>
          <w:noProof/>
        </w:rPr>
      </w:pPr>
      <w:r w:rsidRPr="00811FCE">
        <w:rPr>
          <w:noProof/>
          <w:lang w:val="en-US"/>
        </w:rPr>
        <w:t xml:space="preserve">Pagoulatos, G., &amp; Tsoukalis, L. (2012). "Multilevel Governance". </w:t>
      </w:r>
      <w:r>
        <w:rPr>
          <w:noProof/>
        </w:rPr>
        <w:t>Στο</w:t>
      </w:r>
      <w:r w:rsidRPr="00811FCE">
        <w:rPr>
          <w:noProof/>
          <w:lang w:val="en-US"/>
        </w:rPr>
        <w:t xml:space="preserve"> E. Jones, A. Menon, &amp; S. Weatherill (</w:t>
      </w:r>
      <w:r>
        <w:rPr>
          <w:noProof/>
        </w:rPr>
        <w:t>Επιμ</w:t>
      </w:r>
      <w:r w:rsidRPr="00811FCE">
        <w:rPr>
          <w:noProof/>
          <w:lang w:val="en-US"/>
        </w:rPr>
        <w:t xml:space="preserve">.), </w:t>
      </w:r>
      <w:r w:rsidRPr="00811FCE">
        <w:rPr>
          <w:i/>
          <w:iCs/>
          <w:noProof/>
          <w:lang w:val="en-US"/>
        </w:rPr>
        <w:t>The Oxford Handbook of European Union</w:t>
      </w:r>
      <w:r w:rsidRPr="00811FCE">
        <w:rPr>
          <w:noProof/>
          <w:lang w:val="en-US"/>
        </w:rPr>
        <w:t xml:space="preserve"> (</w:t>
      </w:r>
      <w:r>
        <w:rPr>
          <w:noProof/>
        </w:rPr>
        <w:t>σσ</w:t>
      </w:r>
      <w:r w:rsidRPr="00811FCE">
        <w:rPr>
          <w:noProof/>
          <w:lang w:val="en-US"/>
        </w:rPr>
        <w:t>. 62-75). Oxford: Oxford University Press.</w:t>
      </w:r>
      <w:r w:rsidRPr="00864173">
        <w:rPr>
          <w:noProof/>
          <w:lang w:val="en-US"/>
        </w:rPr>
        <w:t xml:space="preserve"> </w:t>
      </w:r>
    </w:p>
    <w:p w:rsidR="00E0754B" w:rsidRPr="00864173" w:rsidRDefault="00E0754B" w:rsidP="00811FCE">
      <w:pPr>
        <w:pStyle w:val="Bibliography"/>
        <w:rPr>
          <w:noProof/>
          <w:lang w:val="en-US"/>
        </w:rPr>
      </w:pPr>
      <w:r w:rsidRPr="00864173">
        <w:rPr>
          <w:noProof/>
          <w:lang w:val="en-US"/>
        </w:rPr>
        <w:t>Painter, M. &amp; Peters B.G.</w:t>
      </w:r>
      <w:r>
        <w:rPr>
          <w:noProof/>
          <w:lang w:val="en-US"/>
        </w:rPr>
        <w:t xml:space="preserve"> (2010</w:t>
      </w:r>
      <w:r w:rsidRPr="00864173">
        <w:rPr>
          <w:noProof/>
          <w:lang w:val="en-US"/>
        </w:rPr>
        <w:t xml:space="preserve">). </w:t>
      </w:r>
      <w:r w:rsidRPr="00A37314">
        <w:rPr>
          <w:noProof/>
          <w:lang w:val="en-US"/>
        </w:rPr>
        <w:t>"</w:t>
      </w:r>
      <w:r w:rsidRPr="00864173">
        <w:rPr>
          <w:noProof/>
          <w:lang w:val="en-US"/>
        </w:rPr>
        <w:t xml:space="preserve">Administrative </w:t>
      </w:r>
      <w:r>
        <w:rPr>
          <w:noProof/>
          <w:lang w:val="en-US"/>
        </w:rPr>
        <w:t>T</w:t>
      </w:r>
      <w:r w:rsidRPr="00864173">
        <w:rPr>
          <w:noProof/>
          <w:lang w:val="en-US"/>
        </w:rPr>
        <w:t xml:space="preserve">raditions in </w:t>
      </w:r>
      <w:r>
        <w:rPr>
          <w:noProof/>
          <w:lang w:val="en-US"/>
        </w:rPr>
        <w:t>C</w:t>
      </w:r>
      <w:r w:rsidRPr="00864173">
        <w:rPr>
          <w:noProof/>
          <w:lang w:val="en-US"/>
        </w:rPr>
        <w:t xml:space="preserve">omparative </w:t>
      </w:r>
      <w:r>
        <w:rPr>
          <w:noProof/>
          <w:lang w:val="en-US"/>
        </w:rPr>
        <w:t>P</w:t>
      </w:r>
      <w:r w:rsidRPr="00864173">
        <w:rPr>
          <w:noProof/>
          <w:lang w:val="en-US"/>
        </w:rPr>
        <w:t xml:space="preserve">erspective: Families, </w:t>
      </w:r>
      <w:r>
        <w:rPr>
          <w:noProof/>
          <w:lang w:val="en-US"/>
        </w:rPr>
        <w:t>G</w:t>
      </w:r>
      <w:r w:rsidRPr="00864173">
        <w:rPr>
          <w:noProof/>
          <w:lang w:val="en-US"/>
        </w:rPr>
        <w:t xml:space="preserve">roups and </w:t>
      </w:r>
      <w:r>
        <w:rPr>
          <w:noProof/>
          <w:lang w:val="en-US"/>
        </w:rPr>
        <w:t>Hybrids</w:t>
      </w:r>
      <w:r w:rsidRPr="00A37314">
        <w:rPr>
          <w:noProof/>
          <w:lang w:val="en-US"/>
        </w:rPr>
        <w:t>"</w:t>
      </w:r>
      <w:r>
        <w:rPr>
          <w:noProof/>
          <w:lang w:val="en-US"/>
        </w:rPr>
        <w:t xml:space="preserve">. </w:t>
      </w:r>
      <w:r>
        <w:rPr>
          <w:noProof/>
        </w:rPr>
        <w:t>Στο</w:t>
      </w:r>
      <w:r w:rsidRPr="00864173">
        <w:rPr>
          <w:noProof/>
          <w:lang w:val="en-US"/>
        </w:rPr>
        <w:t xml:space="preserve">: </w:t>
      </w:r>
      <w:r>
        <w:rPr>
          <w:noProof/>
          <w:lang w:val="en-US"/>
        </w:rPr>
        <w:t>M. Painter</w:t>
      </w:r>
      <w:r w:rsidRPr="00864173">
        <w:rPr>
          <w:noProof/>
          <w:lang w:val="en-US"/>
        </w:rPr>
        <w:t xml:space="preserve"> </w:t>
      </w:r>
      <w:r>
        <w:rPr>
          <w:noProof/>
          <w:lang w:val="en-US"/>
        </w:rPr>
        <w:t xml:space="preserve">&amp; </w:t>
      </w:r>
      <w:r w:rsidRPr="00864173">
        <w:rPr>
          <w:noProof/>
          <w:lang w:val="en-US"/>
        </w:rPr>
        <w:t>B</w:t>
      </w:r>
      <w:r>
        <w:rPr>
          <w:noProof/>
          <w:lang w:val="en-US"/>
        </w:rPr>
        <w:t>.</w:t>
      </w:r>
      <w:r w:rsidRPr="00864173">
        <w:rPr>
          <w:noProof/>
          <w:lang w:val="en-US"/>
        </w:rPr>
        <w:t>G</w:t>
      </w:r>
      <w:r>
        <w:rPr>
          <w:noProof/>
          <w:lang w:val="en-US"/>
        </w:rPr>
        <w:t xml:space="preserve">. </w:t>
      </w:r>
      <w:r w:rsidRPr="00864173">
        <w:rPr>
          <w:noProof/>
          <w:lang w:val="en-US"/>
        </w:rPr>
        <w:t>Peters (</w:t>
      </w:r>
      <w:r>
        <w:rPr>
          <w:noProof/>
        </w:rPr>
        <w:t>Επιμ</w:t>
      </w:r>
      <w:r w:rsidRPr="00A37314">
        <w:rPr>
          <w:noProof/>
          <w:lang w:val="en-US"/>
        </w:rPr>
        <w:t>.</w:t>
      </w:r>
      <w:r w:rsidRPr="00864173">
        <w:rPr>
          <w:noProof/>
          <w:lang w:val="en-US"/>
        </w:rPr>
        <w:t>)</w:t>
      </w:r>
      <w:r>
        <w:rPr>
          <w:noProof/>
          <w:lang w:val="en-US"/>
        </w:rPr>
        <w:t>,</w:t>
      </w:r>
      <w:r w:rsidRPr="00864173">
        <w:rPr>
          <w:noProof/>
          <w:lang w:val="en-US"/>
        </w:rPr>
        <w:t xml:space="preserve"> </w:t>
      </w:r>
      <w:r w:rsidRPr="00A37314">
        <w:rPr>
          <w:i/>
          <w:noProof/>
          <w:lang w:val="en-US"/>
        </w:rPr>
        <w:t>Tradition and Public Administration</w:t>
      </w:r>
      <w:r>
        <w:rPr>
          <w:noProof/>
          <w:lang w:val="en-US"/>
        </w:rPr>
        <w:t xml:space="preserve"> (</w:t>
      </w:r>
      <w:r>
        <w:rPr>
          <w:noProof/>
        </w:rPr>
        <w:t>σσ</w:t>
      </w:r>
      <w:r w:rsidRPr="00864173">
        <w:rPr>
          <w:noProof/>
          <w:lang w:val="en-US"/>
        </w:rPr>
        <w:t>. 19–30</w:t>
      </w:r>
      <w:r>
        <w:rPr>
          <w:noProof/>
          <w:lang w:val="en-US"/>
        </w:rPr>
        <w:t>)</w:t>
      </w:r>
      <w:r w:rsidRPr="00864173">
        <w:rPr>
          <w:noProof/>
          <w:lang w:val="en-US"/>
        </w:rPr>
        <w:t xml:space="preserve">. </w:t>
      </w:r>
      <w:r>
        <w:rPr>
          <w:noProof/>
          <w:lang w:val="en-US"/>
        </w:rPr>
        <w:t>Basingstoke: Palgrave Macmillan</w:t>
      </w:r>
      <w:r w:rsidRPr="00864173">
        <w:rPr>
          <w:noProof/>
          <w:lang w:val="en-US"/>
        </w:rPr>
        <w:t>.</w:t>
      </w:r>
    </w:p>
    <w:p w:rsidR="00E0754B" w:rsidRPr="00864173" w:rsidRDefault="00E0754B" w:rsidP="00811FCE">
      <w:pPr>
        <w:pStyle w:val="Bibliography"/>
        <w:rPr>
          <w:noProof/>
        </w:rPr>
      </w:pPr>
      <w:r w:rsidRPr="00864173">
        <w:rPr>
          <w:noProof/>
          <w:lang w:val="en-US"/>
        </w:rPr>
        <w:t xml:space="preserve">Piattoni, S. (2010). The Theory of Multi-level Governance-Conceptual, Empirical, and Normative Challenges. </w:t>
      </w:r>
      <w:r w:rsidRPr="00864173">
        <w:rPr>
          <w:noProof/>
        </w:rPr>
        <w:t>Oxford: Oxford University Press</w:t>
      </w:r>
      <w:r>
        <w:rPr>
          <w:noProof/>
        </w:rPr>
        <w:t>.</w:t>
      </w:r>
    </w:p>
    <w:p w:rsidR="00E0754B" w:rsidRDefault="00E0754B" w:rsidP="00811FCE">
      <w:pPr>
        <w:pStyle w:val="Bibliography"/>
        <w:rPr>
          <w:noProof/>
          <w:lang w:val="en-US"/>
        </w:rPr>
      </w:pPr>
      <w:r>
        <w:rPr>
          <w:noProof/>
          <w:lang w:val="en-US"/>
        </w:rPr>
        <w:t xml:space="preserve">Radaelli, C. (2003). "The Europeanization of Public Policy". In K. Featherstone, &amp; C. Radaelli (Eds.), </w:t>
      </w:r>
      <w:r>
        <w:rPr>
          <w:i/>
          <w:iCs/>
          <w:noProof/>
          <w:lang w:val="en-US"/>
        </w:rPr>
        <w:t>The Politics of Europeanization</w:t>
      </w:r>
      <w:r>
        <w:rPr>
          <w:noProof/>
          <w:lang w:val="en-US"/>
        </w:rPr>
        <w:t xml:space="preserve"> (</w:t>
      </w:r>
      <w:r>
        <w:rPr>
          <w:noProof/>
        </w:rPr>
        <w:t>σσ</w:t>
      </w:r>
      <w:r>
        <w:rPr>
          <w:noProof/>
          <w:lang w:val="en-US"/>
        </w:rPr>
        <w:t>. 27-56). Oxford: Oxford University Press.</w:t>
      </w:r>
    </w:p>
    <w:p w:rsidR="00E0754B" w:rsidRPr="00811FCE" w:rsidRDefault="00E0754B" w:rsidP="00811FCE">
      <w:pPr>
        <w:pStyle w:val="Bibliography"/>
        <w:rPr>
          <w:noProof/>
          <w:lang w:val="en-US"/>
        </w:rPr>
      </w:pPr>
      <w:r w:rsidRPr="00811FCE">
        <w:rPr>
          <w:noProof/>
          <w:lang w:val="en-US"/>
        </w:rPr>
        <w:t xml:space="preserve">Radaelli, C., &amp; Exadaktylos, T. (2012). "Lessons Learned: Beyond Causality". </w:t>
      </w:r>
      <w:r>
        <w:rPr>
          <w:noProof/>
        </w:rPr>
        <w:t>Στο</w:t>
      </w:r>
      <w:r w:rsidRPr="00811FCE">
        <w:rPr>
          <w:noProof/>
          <w:lang w:val="en-US"/>
        </w:rPr>
        <w:t xml:space="preserve"> T. Exadaktylos, &amp; C. Radaelli (</w:t>
      </w:r>
      <w:r>
        <w:rPr>
          <w:noProof/>
        </w:rPr>
        <w:t>Επιμ</w:t>
      </w:r>
      <w:r w:rsidRPr="00811FCE">
        <w:rPr>
          <w:noProof/>
          <w:lang w:val="en-US"/>
        </w:rPr>
        <w:t xml:space="preserve">.), </w:t>
      </w:r>
      <w:r w:rsidRPr="00811FCE">
        <w:rPr>
          <w:i/>
          <w:iCs/>
          <w:noProof/>
          <w:lang w:val="en-US"/>
        </w:rPr>
        <w:t>Research Design in European Studies. Establishing Causality in Europeanization</w:t>
      </w:r>
      <w:r w:rsidRPr="00811FCE">
        <w:rPr>
          <w:noProof/>
          <w:lang w:val="en-US"/>
        </w:rPr>
        <w:t xml:space="preserve"> (</w:t>
      </w:r>
      <w:r>
        <w:rPr>
          <w:noProof/>
        </w:rPr>
        <w:t>σσ</w:t>
      </w:r>
      <w:r w:rsidRPr="00811FCE">
        <w:rPr>
          <w:noProof/>
          <w:lang w:val="en-US"/>
        </w:rPr>
        <w:t>. 255-264). New York: Palgrave Macmillan.</w:t>
      </w:r>
    </w:p>
    <w:p w:rsidR="00E0754B" w:rsidRDefault="00E0754B" w:rsidP="00811FCE">
      <w:pPr>
        <w:pStyle w:val="Bibliography"/>
        <w:rPr>
          <w:noProof/>
          <w:lang w:val="en-US"/>
        </w:rPr>
      </w:pPr>
      <w:r>
        <w:rPr>
          <w:noProof/>
          <w:lang w:val="en-US"/>
        </w:rPr>
        <w:t xml:space="preserve">Risse, T., Cowles, G., &amp; Caporaso, J. (2001). "Europeanization and Domestic Change: Introduction". In G. Cowles, J. Caporaso, &amp; T. Risse (Eds.), </w:t>
      </w:r>
      <w:r>
        <w:rPr>
          <w:i/>
          <w:iCs/>
          <w:noProof/>
          <w:lang w:val="en-US"/>
        </w:rPr>
        <w:t>Transforming Europe: Europeanization and Domestic Change</w:t>
      </w:r>
      <w:r>
        <w:rPr>
          <w:noProof/>
          <w:lang w:val="en-US"/>
        </w:rPr>
        <w:t xml:space="preserve"> (pp. 1-20). Ithaca: Cornell University Press.</w:t>
      </w:r>
    </w:p>
    <w:p w:rsidR="00E0754B" w:rsidRPr="00811FCE" w:rsidRDefault="00E0754B" w:rsidP="00811FCE">
      <w:pPr>
        <w:pStyle w:val="Bibliography"/>
        <w:rPr>
          <w:noProof/>
          <w:lang w:val="en-US"/>
        </w:rPr>
      </w:pPr>
      <w:r w:rsidRPr="00811FCE">
        <w:rPr>
          <w:noProof/>
          <w:lang w:val="en-US"/>
        </w:rPr>
        <w:t xml:space="preserve">Schmidt, V. (2002). "Europeanization and the Mechanics of Economic Policy Adjustment". </w:t>
      </w:r>
      <w:r w:rsidRPr="00811FCE">
        <w:rPr>
          <w:i/>
          <w:iCs/>
          <w:noProof/>
          <w:lang w:val="en-US"/>
        </w:rPr>
        <w:t>Journal of European Public Policy</w:t>
      </w:r>
      <w:r w:rsidRPr="00811FCE">
        <w:rPr>
          <w:noProof/>
          <w:lang w:val="en-US"/>
        </w:rPr>
        <w:t xml:space="preserve"> </w:t>
      </w:r>
      <w:r w:rsidRPr="00811FCE">
        <w:rPr>
          <w:i/>
          <w:iCs/>
          <w:noProof/>
          <w:lang w:val="en-US"/>
        </w:rPr>
        <w:t>, 9</w:t>
      </w:r>
      <w:r w:rsidRPr="00811FCE">
        <w:rPr>
          <w:noProof/>
          <w:lang w:val="en-US"/>
        </w:rPr>
        <w:t xml:space="preserve"> (6), </w:t>
      </w:r>
      <w:r>
        <w:rPr>
          <w:noProof/>
        </w:rPr>
        <w:t>σσ</w:t>
      </w:r>
      <w:r w:rsidRPr="00811FCE">
        <w:rPr>
          <w:noProof/>
          <w:lang w:val="en-US"/>
        </w:rPr>
        <w:t>. 894-912.</w:t>
      </w:r>
    </w:p>
    <w:p w:rsidR="00E0754B" w:rsidRDefault="00E0754B" w:rsidP="00811FCE">
      <w:pPr>
        <w:pStyle w:val="Bibliography"/>
        <w:rPr>
          <w:noProof/>
          <w:lang w:val="en-US"/>
        </w:rPr>
      </w:pPr>
      <w:r>
        <w:rPr>
          <w:noProof/>
          <w:lang w:val="en-US"/>
        </w:rPr>
        <w:t xml:space="preserve">Spanou, C. (2008). "State Reform in Greece: Responding to Old and New Challenges". </w:t>
      </w:r>
      <w:r>
        <w:rPr>
          <w:i/>
          <w:iCs/>
          <w:noProof/>
          <w:lang w:val="en-US"/>
        </w:rPr>
        <w:t>International Journal of Public Sector Management</w:t>
      </w:r>
      <w:r>
        <w:rPr>
          <w:noProof/>
          <w:lang w:val="en-US"/>
        </w:rPr>
        <w:t xml:space="preserve"> </w:t>
      </w:r>
      <w:r>
        <w:rPr>
          <w:i/>
          <w:iCs/>
          <w:noProof/>
          <w:lang w:val="en-US"/>
        </w:rPr>
        <w:t>, 21</w:t>
      </w:r>
      <w:r>
        <w:rPr>
          <w:noProof/>
          <w:lang w:val="en-US"/>
        </w:rPr>
        <w:t xml:space="preserve"> (2), </w:t>
      </w:r>
      <w:r>
        <w:rPr>
          <w:noProof/>
        </w:rPr>
        <w:t>σσ</w:t>
      </w:r>
      <w:r>
        <w:rPr>
          <w:noProof/>
          <w:lang w:val="en-US"/>
        </w:rPr>
        <w:t>. 150-173.</w:t>
      </w:r>
    </w:p>
    <w:p w:rsidR="00E0754B" w:rsidRDefault="00E0754B" w:rsidP="00811FCE">
      <w:pPr>
        <w:pStyle w:val="Bibliography"/>
        <w:rPr>
          <w:noProof/>
          <w:lang w:val="en-US"/>
        </w:rPr>
      </w:pPr>
      <w:r>
        <w:rPr>
          <w:noProof/>
          <w:lang w:val="en-US"/>
        </w:rPr>
        <w:t xml:space="preserve">Spanou, C. (2012). "The Quandary of Administrative Reform: Institutional and Performance Modernization". In S. Kalyvas, G. Pagoulatos, &amp; H. Tsoukas (Eds.), </w:t>
      </w:r>
      <w:r>
        <w:rPr>
          <w:i/>
          <w:iCs/>
          <w:noProof/>
          <w:lang w:val="en-US"/>
        </w:rPr>
        <w:t>From Stagnation to Forced Adjustment: Reforms in Greece 1974-2010</w:t>
      </w:r>
      <w:r>
        <w:rPr>
          <w:noProof/>
          <w:lang w:val="en-US"/>
        </w:rPr>
        <w:t xml:space="preserve"> (</w:t>
      </w:r>
      <w:r>
        <w:rPr>
          <w:noProof/>
        </w:rPr>
        <w:t>σσ</w:t>
      </w:r>
      <w:r>
        <w:rPr>
          <w:noProof/>
          <w:lang w:val="en-US"/>
        </w:rPr>
        <w:t>. 171-194). London: Hurst &amp; Company.</w:t>
      </w:r>
    </w:p>
    <w:p w:rsidR="00E0754B" w:rsidRDefault="00E0754B" w:rsidP="00811FCE">
      <w:pPr>
        <w:pStyle w:val="Bibliography"/>
        <w:rPr>
          <w:noProof/>
          <w:lang w:val="en-US"/>
        </w:rPr>
      </w:pPr>
      <w:r>
        <w:rPr>
          <w:noProof/>
          <w:lang w:val="en-US"/>
        </w:rPr>
        <w:t xml:space="preserve">Spanou, C., &amp; Soriropoulos, D. (2011). "The Odyssey of Administrative Reforms in Greece, 1981-2009: A Tale of Two Reform Paths". </w:t>
      </w:r>
      <w:r>
        <w:rPr>
          <w:i/>
          <w:iCs/>
          <w:noProof/>
          <w:lang w:val="en-US"/>
        </w:rPr>
        <w:t>Public Administration</w:t>
      </w:r>
      <w:r>
        <w:rPr>
          <w:noProof/>
          <w:lang w:val="en-US"/>
        </w:rPr>
        <w:t xml:space="preserve"> </w:t>
      </w:r>
      <w:r>
        <w:rPr>
          <w:i/>
          <w:iCs/>
          <w:noProof/>
          <w:lang w:val="en-US"/>
        </w:rPr>
        <w:t>, 89</w:t>
      </w:r>
      <w:r>
        <w:rPr>
          <w:noProof/>
          <w:lang w:val="en-US"/>
        </w:rPr>
        <w:t xml:space="preserve"> (3), </w:t>
      </w:r>
      <w:r>
        <w:rPr>
          <w:noProof/>
        </w:rPr>
        <w:t>σσ</w:t>
      </w:r>
      <w:r>
        <w:rPr>
          <w:noProof/>
          <w:lang w:val="en-US"/>
        </w:rPr>
        <w:t>. 723–737.</w:t>
      </w:r>
    </w:p>
    <w:p w:rsidR="00E0754B" w:rsidRDefault="00E0754B" w:rsidP="00811FCE">
      <w:pPr>
        <w:pStyle w:val="Bibliography"/>
        <w:rPr>
          <w:noProof/>
          <w:lang w:val="en-US"/>
        </w:rPr>
      </w:pPr>
      <w:r>
        <w:rPr>
          <w:noProof/>
          <w:lang w:val="en-US"/>
        </w:rPr>
        <w:t xml:space="preserve">Vamvakas, N. (2012). </w:t>
      </w:r>
      <w:r>
        <w:rPr>
          <w:i/>
          <w:iCs/>
          <w:noProof/>
          <w:lang w:val="en-US"/>
        </w:rPr>
        <w:t>Europeanizing Greece: The Effects of Ten Years of Structural Funds, 1989-1999.</w:t>
      </w:r>
      <w:r>
        <w:rPr>
          <w:noProof/>
          <w:lang w:val="en-US"/>
        </w:rPr>
        <w:t xml:space="preserve"> Toronto: Toronto University Press.</w:t>
      </w:r>
    </w:p>
    <w:p w:rsidR="00E0754B" w:rsidRPr="00811FCE" w:rsidRDefault="00E0754B" w:rsidP="00811FCE">
      <w:pPr>
        <w:pStyle w:val="Bibliography"/>
        <w:rPr>
          <w:noProof/>
          <w:lang w:val="en-US"/>
        </w:rPr>
      </w:pPr>
      <w:r w:rsidRPr="00811FCE">
        <w:rPr>
          <w:noProof/>
          <w:lang w:val="en-US"/>
        </w:rPr>
        <w:t xml:space="preserve">Verney, S. (1994). "Central State–Local Government Relations". </w:t>
      </w:r>
      <w:r>
        <w:rPr>
          <w:noProof/>
        </w:rPr>
        <w:t>Στο</w:t>
      </w:r>
      <w:r w:rsidRPr="00811FCE">
        <w:rPr>
          <w:noProof/>
          <w:lang w:val="en-US"/>
        </w:rPr>
        <w:t xml:space="preserve"> P. Kazakos, &amp; P. Ioakeimides (</w:t>
      </w:r>
      <w:r>
        <w:rPr>
          <w:noProof/>
        </w:rPr>
        <w:t>Επιμ</w:t>
      </w:r>
      <w:r w:rsidRPr="00811FCE">
        <w:rPr>
          <w:noProof/>
          <w:lang w:val="en-US"/>
        </w:rPr>
        <w:t xml:space="preserve">.), </w:t>
      </w:r>
      <w:r w:rsidRPr="00811FCE">
        <w:rPr>
          <w:i/>
          <w:iCs/>
          <w:noProof/>
          <w:lang w:val="en-US"/>
        </w:rPr>
        <w:t>Greece and EC Membership Evaluated</w:t>
      </w:r>
      <w:r w:rsidRPr="00811FCE">
        <w:rPr>
          <w:noProof/>
          <w:lang w:val="en-US"/>
        </w:rPr>
        <w:t xml:space="preserve"> (</w:t>
      </w:r>
      <w:r>
        <w:rPr>
          <w:noProof/>
        </w:rPr>
        <w:t>σσ</w:t>
      </w:r>
      <w:r w:rsidRPr="00811FCE">
        <w:rPr>
          <w:noProof/>
          <w:lang w:val="en-US"/>
        </w:rPr>
        <w:t>. 166-180). London: Frances Pinter.</w:t>
      </w:r>
    </w:p>
    <w:p w:rsidR="00E0754B" w:rsidRDefault="00E0754B" w:rsidP="00811FCE">
      <w:pPr>
        <w:pStyle w:val="Bibliography"/>
        <w:rPr>
          <w:noProof/>
        </w:rPr>
      </w:pPr>
      <w:r w:rsidRPr="00811FCE">
        <w:rPr>
          <w:noProof/>
          <w:lang w:val="en-US"/>
        </w:rPr>
        <w:t xml:space="preserve">Weber, M. (1946). </w:t>
      </w:r>
      <w:r w:rsidRPr="00811FCE">
        <w:rPr>
          <w:i/>
          <w:iCs/>
          <w:noProof/>
          <w:lang w:val="en-US"/>
        </w:rPr>
        <w:t>Essays in Sociology.</w:t>
      </w:r>
      <w:r w:rsidRPr="00811FCE">
        <w:rPr>
          <w:noProof/>
          <w:lang w:val="en-US"/>
        </w:rPr>
        <w:t xml:space="preserve"> (H. Gerth, C. Wright Mills, </w:t>
      </w:r>
      <w:r>
        <w:rPr>
          <w:noProof/>
        </w:rPr>
        <w:t>Επιμ</w:t>
      </w:r>
      <w:r w:rsidRPr="00811FCE">
        <w:rPr>
          <w:noProof/>
          <w:lang w:val="en-US"/>
        </w:rPr>
        <w:t xml:space="preserve">., H. Gerth, &amp; C. Wright Mills, </w:t>
      </w:r>
      <w:r>
        <w:rPr>
          <w:noProof/>
        </w:rPr>
        <w:t>Μεταφρ</w:t>
      </w:r>
      <w:r w:rsidRPr="00811FCE">
        <w:rPr>
          <w:noProof/>
          <w:lang w:val="en-US"/>
        </w:rPr>
        <w:t xml:space="preserve">.) </w:t>
      </w:r>
      <w:r>
        <w:rPr>
          <w:noProof/>
        </w:rPr>
        <w:t>New York: Oxford University Press.</w:t>
      </w:r>
    </w:p>
    <w:p w:rsidR="00E0754B" w:rsidRDefault="00E0754B" w:rsidP="00811FCE">
      <w:pPr>
        <w:pStyle w:val="Bibliography"/>
        <w:rPr>
          <w:noProof/>
        </w:rPr>
      </w:pPr>
    </w:p>
    <w:p w:rsidR="00E0754B" w:rsidRPr="00952905" w:rsidRDefault="00E0754B" w:rsidP="00952905"/>
    <w:p w:rsidR="00E0754B" w:rsidRDefault="00E0754B" w:rsidP="00811FCE">
      <w:pPr>
        <w:pStyle w:val="Bibliography"/>
        <w:rPr>
          <w:b/>
          <w:noProof/>
        </w:rPr>
      </w:pPr>
      <w:r w:rsidRPr="00952905">
        <w:rPr>
          <w:b/>
          <w:noProof/>
        </w:rPr>
        <w:t>Ελληνικ</w:t>
      </w:r>
      <w:r>
        <w:rPr>
          <w:b/>
          <w:noProof/>
        </w:rPr>
        <w:t>ές</w:t>
      </w:r>
    </w:p>
    <w:p w:rsidR="00E0754B" w:rsidRDefault="00E0754B" w:rsidP="00811FCE">
      <w:pPr>
        <w:pStyle w:val="Bibliography"/>
        <w:rPr>
          <w:noProof/>
        </w:rPr>
      </w:pPr>
      <w:r>
        <w:rPr>
          <w:noProof/>
        </w:rPr>
        <w:t xml:space="preserve">Ανδρέου, Α. (2016). "Η Ευρωπαϊκή Πολιτική Συνοχής". Στο Ν. Μαραβέγιας (Επιμ.), </w:t>
      </w:r>
      <w:r>
        <w:rPr>
          <w:i/>
          <w:iCs/>
          <w:noProof/>
        </w:rPr>
        <w:t>Ευρωπαϊκή Ένωση. Δημιουργία, Εξέλιξη, Προοπτικές</w:t>
      </w:r>
      <w:r>
        <w:rPr>
          <w:noProof/>
        </w:rPr>
        <w:t xml:space="preserve"> (σσ. 333-361). Αθήνα: Κριτική.</w:t>
      </w:r>
    </w:p>
    <w:p w:rsidR="00E0754B" w:rsidRDefault="00E0754B" w:rsidP="00811FCE">
      <w:pPr>
        <w:pStyle w:val="Bibliography"/>
        <w:rPr>
          <w:noProof/>
        </w:rPr>
      </w:pPr>
      <w:r>
        <w:rPr>
          <w:noProof/>
        </w:rPr>
        <w:t xml:space="preserve">Γιαννακούρου, Γ. (2009). "Η Ευρωπαϊκή Πολιτική για το Περιβάλλον και η Ελληνική Δημόσια Διοίκηση". Στο Α. Πασσάς, &amp; Θ. Τσέκος (Επιμ.), </w:t>
      </w:r>
      <w:r>
        <w:rPr>
          <w:i/>
          <w:iCs/>
          <w:noProof/>
        </w:rPr>
        <w:t>Εθνική Διοίκηση και Ευρωπαϊκή Ολοκλήρωση – Η Ελληνική Εμπειρία</w:t>
      </w:r>
      <w:r>
        <w:rPr>
          <w:noProof/>
        </w:rPr>
        <w:t xml:space="preserve"> (σσ. 341-367). Αθήνα: Παπαζήσης.</w:t>
      </w:r>
    </w:p>
    <w:p w:rsidR="00E0754B" w:rsidRDefault="00E0754B" w:rsidP="00811FCE">
      <w:pPr>
        <w:pStyle w:val="Bibliography"/>
        <w:rPr>
          <w:noProof/>
        </w:rPr>
      </w:pPr>
      <w:r>
        <w:rPr>
          <w:noProof/>
        </w:rPr>
        <w:t xml:space="preserve">Ιωακειμίδης, Π. (1993). "Η Ελληνική Διοίκηση και η Διαμόρφωση της Ευρωπαϊκής Πολιτικής". Στο Λ. Τσούκαλης (Επιμ.), </w:t>
      </w:r>
      <w:r>
        <w:rPr>
          <w:i/>
          <w:iCs/>
          <w:noProof/>
        </w:rPr>
        <w:t>Η Ελλάδα στην Ευρωπαϊκή Κοινότητα. Η Πρόκληση της Προσαρμογής</w:t>
      </w:r>
      <w:r>
        <w:rPr>
          <w:noProof/>
        </w:rPr>
        <w:t xml:space="preserve"> (σσ. 209-230). Αθήνα: ΕΚΕΜ, Παπαζήσης.</w:t>
      </w:r>
    </w:p>
    <w:p w:rsidR="00E0754B" w:rsidRDefault="00E0754B" w:rsidP="00864173">
      <w:pPr>
        <w:pStyle w:val="Bibliography"/>
        <w:rPr>
          <w:noProof/>
          <w:lang w:val="en-US"/>
        </w:rPr>
      </w:pPr>
      <w:r>
        <w:rPr>
          <w:noProof/>
        </w:rPr>
        <w:t xml:space="preserve">Ιωακειμίδης, Π. (1998). </w:t>
      </w:r>
      <w:r>
        <w:rPr>
          <w:i/>
          <w:iCs/>
          <w:noProof/>
        </w:rPr>
        <w:t>Ευρωπαϊκή Ένωση και Ελληνικό Κράτος - Επιπτώσεις από τη Συμμετοχή στην Ενοποιητική Διαδικασία.</w:t>
      </w:r>
      <w:r>
        <w:rPr>
          <w:noProof/>
        </w:rPr>
        <w:t xml:space="preserve"> Αθήνα: Θεμέλιο.</w:t>
      </w:r>
    </w:p>
    <w:p w:rsidR="00E0754B" w:rsidRPr="00B80CF2" w:rsidRDefault="00E0754B" w:rsidP="00864173">
      <w:pPr>
        <w:pStyle w:val="Bibliography"/>
        <w:rPr>
          <w:noProof/>
          <w:lang w:val="en-US"/>
        </w:rPr>
      </w:pPr>
      <w:r w:rsidRPr="00B80CF2">
        <w:rPr>
          <w:noProof/>
        </w:rPr>
        <w:t xml:space="preserve">Καρυπίδου, Μ. (2007). Η Επιχειρηματική Δραστηριότητα των ΟΤΑ: Δημοτικές και Κοινοτικές Επιχειρήσεις. </w:t>
      </w:r>
      <w:r w:rsidRPr="00B80CF2">
        <w:rPr>
          <w:noProof/>
          <w:lang w:val="en-US"/>
        </w:rPr>
        <w:t>Κομοτηνή: Δημοκρίτειο Πανεπιστήμιο Θράκης</w:t>
      </w:r>
      <w:r>
        <w:rPr>
          <w:noProof/>
          <w:lang w:val="en-US"/>
        </w:rPr>
        <w:t>.</w:t>
      </w:r>
    </w:p>
    <w:p w:rsidR="00E0754B" w:rsidRDefault="00E0754B" w:rsidP="00864173">
      <w:pPr>
        <w:pStyle w:val="Bibliography"/>
      </w:pPr>
      <w:r>
        <w:t xml:space="preserve">ΚΕΔΚΕ. (2001). </w:t>
      </w:r>
      <w:r w:rsidRPr="00864173">
        <w:rPr>
          <w:i/>
        </w:rPr>
        <w:t>Ετήσιο Τακτικό Συνέδριο</w:t>
      </w:r>
      <w:r>
        <w:rPr>
          <w:i/>
        </w:rPr>
        <w:t>.</w:t>
      </w:r>
      <w:r>
        <w:t xml:space="preserve"> Θεσσαλονίκη, 29 Νοεμβρίου ‐ 2 Δεκεμβρίου.</w:t>
      </w:r>
    </w:p>
    <w:p w:rsidR="00E0754B" w:rsidRDefault="00E0754B" w:rsidP="00864173">
      <w:pPr>
        <w:pStyle w:val="Bibliography"/>
        <w:rPr>
          <w:noProof/>
        </w:rPr>
      </w:pPr>
      <w:r>
        <w:rPr>
          <w:noProof/>
        </w:rPr>
        <w:t xml:space="preserve">Κουταλάκης, Χ. (2012). </w:t>
      </w:r>
      <w:r>
        <w:rPr>
          <w:i/>
          <w:iCs/>
          <w:noProof/>
        </w:rPr>
        <w:t>Γιατί δεν εφαρμόζονται οι νόμοι; Θεωρία και Πρακτική της Περιβαλλοντικής Συμμόρφωσης στην Ελλάδα.</w:t>
      </w:r>
      <w:r>
        <w:rPr>
          <w:noProof/>
        </w:rPr>
        <w:t xml:space="preserve"> Αθήνα: Gutenberg.</w:t>
      </w:r>
    </w:p>
    <w:p w:rsidR="00E0754B" w:rsidRDefault="00E0754B" w:rsidP="00864173">
      <w:pPr>
        <w:pStyle w:val="Bibliography"/>
        <w:rPr>
          <w:noProof/>
        </w:rPr>
      </w:pPr>
      <w:r w:rsidRPr="00864173">
        <w:rPr>
          <w:noProof/>
        </w:rPr>
        <w:t>Κουφάκη, Ι. (2007). "Το Κοινοτικό Δίκαιο της Διαχείρισης των Αποβλήτων και η Εφαρμογή του στην Ελλάδα". Στο Γ. Γιαννακούρου, Γ. Κρεμλής, &amp; Γ. Σιούτη</w:t>
      </w:r>
      <w:r>
        <w:rPr>
          <w:noProof/>
        </w:rPr>
        <w:t xml:space="preserve"> </w:t>
      </w:r>
      <w:r w:rsidRPr="00864173">
        <w:rPr>
          <w:noProof/>
        </w:rPr>
        <w:t>(Επιμ.), Η Εφαρμογή του Κοινοτικού Δικαίου Περιβάλλοντος στην Ελλάδα 1981-2006 (σσ. 213‐273). Αθήνα‐Κομοτηνή: Αντ. Ν. Σάκκουλα</w:t>
      </w:r>
      <w:r>
        <w:rPr>
          <w:noProof/>
        </w:rPr>
        <w:t xml:space="preserve">. </w:t>
      </w:r>
    </w:p>
    <w:p w:rsidR="00E0754B" w:rsidRDefault="00E0754B" w:rsidP="00864173">
      <w:pPr>
        <w:pStyle w:val="Bibliography"/>
        <w:rPr>
          <w:noProof/>
        </w:rPr>
      </w:pPr>
      <w:r w:rsidRPr="00DC2757">
        <w:rPr>
          <w:noProof/>
        </w:rPr>
        <w:t xml:space="preserve">Λαμπροπούλου, Μ. </w:t>
      </w:r>
      <w:r>
        <w:rPr>
          <w:noProof/>
        </w:rPr>
        <w:t>&amp;</w:t>
      </w:r>
      <w:r w:rsidRPr="00DC2757">
        <w:rPr>
          <w:noProof/>
        </w:rPr>
        <w:t xml:space="preserve"> Γ. Οικονόμου (2016),  «Θεωρητικά  Διοικητικά Μοντέλα και οι Πολιτικές των Μνημονίων για τη Δημόσια Διοίκηση: Σημεία</w:t>
      </w:r>
      <w:r>
        <w:rPr>
          <w:noProof/>
        </w:rPr>
        <w:t xml:space="preserve"> Τομής, Αποκλίσεων και Αλλαγής».</w:t>
      </w:r>
      <w:r w:rsidRPr="00DC2757">
        <w:rPr>
          <w:noProof/>
        </w:rPr>
        <w:t xml:space="preserve"> </w:t>
      </w:r>
      <w:r>
        <w:rPr>
          <w:noProof/>
        </w:rPr>
        <w:t>Σ</w:t>
      </w:r>
      <w:r w:rsidRPr="00DC2757">
        <w:rPr>
          <w:noProof/>
        </w:rPr>
        <w:t xml:space="preserve">ε: Α. Μακρυδημήτρης, Ε. Πρεβεδούρου, Χ. Δετσαρίδης &amp; Μ.-Η. Πραβίτα (επιμ.) </w:t>
      </w:r>
      <w:r w:rsidRPr="00DC2757">
        <w:rPr>
          <w:i/>
          <w:noProof/>
        </w:rPr>
        <w:t>Αναδιοργάνωση της Διοίκησης και του Κράτους στη μετά το «Μνημόνιο» Εποχή</w:t>
      </w:r>
      <w:r w:rsidRPr="00DC2757">
        <w:rPr>
          <w:noProof/>
        </w:rPr>
        <w:t>, σσ. 191-207, Αθήνα: Εθνικό Τυπογραφείο</w:t>
      </w:r>
    </w:p>
    <w:p w:rsidR="00E0754B" w:rsidRDefault="00E0754B" w:rsidP="00864173">
      <w:pPr>
        <w:pStyle w:val="Bibliography"/>
        <w:rPr>
          <w:noProof/>
        </w:rPr>
      </w:pPr>
      <w:r w:rsidRPr="00952905">
        <w:rPr>
          <w:noProof/>
        </w:rPr>
        <w:t xml:space="preserve">Λώλος, Σ. (2001). </w:t>
      </w:r>
      <w:r w:rsidRPr="00952905">
        <w:rPr>
          <w:i/>
          <w:noProof/>
        </w:rPr>
        <w:t>Ευρωπαϊκοί Διαρθρωτικοί Πόροι: Ο Ρόλος τους στην Ανάπτυξης της Ελληνικής Οικονομίας</w:t>
      </w:r>
      <w:r w:rsidRPr="00952905">
        <w:rPr>
          <w:noProof/>
        </w:rPr>
        <w:t>. Αθήνα: Τράπεζα της Ελλάδος.</w:t>
      </w:r>
    </w:p>
    <w:p w:rsidR="00E0754B" w:rsidRDefault="00E0754B" w:rsidP="00811FCE">
      <w:pPr>
        <w:pStyle w:val="Bibliography"/>
        <w:rPr>
          <w:noProof/>
        </w:rPr>
      </w:pPr>
      <w:r>
        <w:rPr>
          <w:noProof/>
        </w:rPr>
        <w:t xml:space="preserve">Μακρυδημήτρης, Α., &amp; Μιχαλόπουλος, Ν. (Επιμ.). (1990). </w:t>
      </w:r>
      <w:r>
        <w:rPr>
          <w:i/>
          <w:iCs/>
          <w:noProof/>
        </w:rPr>
        <w:t>Εκθέσεις Εμπειρογνωμόνων για τη Δημόσια Διοίκηση 1950-1998.</w:t>
      </w:r>
      <w:r>
        <w:rPr>
          <w:noProof/>
        </w:rPr>
        <w:t xml:space="preserve"> Αθήνα: Παπαζήσης.</w:t>
      </w:r>
    </w:p>
    <w:p w:rsidR="00E0754B" w:rsidRDefault="00E0754B" w:rsidP="00811FCE">
      <w:pPr>
        <w:pStyle w:val="Bibliography"/>
        <w:rPr>
          <w:noProof/>
        </w:rPr>
      </w:pPr>
      <w:r>
        <w:rPr>
          <w:noProof/>
        </w:rPr>
        <w:t xml:space="preserve">Μακρυδημήτρης, Α., &amp; Πασσάς, Α. (1994). </w:t>
      </w:r>
      <w:r>
        <w:rPr>
          <w:i/>
          <w:iCs/>
          <w:noProof/>
        </w:rPr>
        <w:t>Η Ελληνική Διοίκηση και ο Συντονισμός της Ευρωπαϊκής Πολιτικής.</w:t>
      </w:r>
      <w:r>
        <w:rPr>
          <w:noProof/>
        </w:rPr>
        <w:t xml:space="preserve"> Αθήνα-Κομοτηνή: Α .Ν. Σάκκουλας.</w:t>
      </w:r>
    </w:p>
    <w:p w:rsidR="00E0754B" w:rsidRDefault="00E0754B" w:rsidP="00811FCE">
      <w:pPr>
        <w:pStyle w:val="Bibliography"/>
        <w:rPr>
          <w:noProof/>
        </w:rPr>
      </w:pPr>
      <w:r>
        <w:rPr>
          <w:noProof/>
        </w:rPr>
        <w:t xml:space="preserve">Μαραβέγιας, Ν. (2001). "Περιφερειακή Πολιτική και Οικονομική και Κοινωνική Συνοχή". Στο Γ. Δημόπουλος, Ν. Μπαλτάς, &amp; Ι. Χασσίδ (Επιμ.), </w:t>
      </w:r>
      <w:r>
        <w:rPr>
          <w:i/>
          <w:iCs/>
          <w:noProof/>
        </w:rPr>
        <w:t>Εισαγωγή στις Ευρωπαϊκές Σπουδές</w:t>
      </w:r>
      <w:r>
        <w:rPr>
          <w:noProof/>
        </w:rPr>
        <w:t xml:space="preserve"> (Τόμ. Β, Οικονομική Ολοκλήρωση και Πολιτικές, σσ. 733-768). Αθήνα: I. Σιδέρης.</w:t>
      </w:r>
    </w:p>
    <w:p w:rsidR="00E0754B" w:rsidRDefault="00E0754B" w:rsidP="00811FCE">
      <w:pPr>
        <w:pStyle w:val="Bibliography"/>
        <w:rPr>
          <w:noProof/>
        </w:rPr>
      </w:pPr>
      <w:r>
        <w:rPr>
          <w:noProof/>
        </w:rPr>
        <w:t xml:space="preserve">Μαραβέγιας, Ν., &amp; Ανδρέου, Γ. (2007). "Η Διαρθρωτική Πολιτική της Ευρωπαϊκής Ένωσης". Στο Ν. Μαραβέγιας, &amp; Μ. Τσινισιζέλης (Επιμ.), </w:t>
      </w:r>
      <w:r>
        <w:rPr>
          <w:i/>
          <w:iCs/>
          <w:noProof/>
        </w:rPr>
        <w:t>Νέα Ευρωπαϊκή Ένωση:Οργάνωση και Πολιτικές-50 χρόνια</w:t>
      </w:r>
      <w:r>
        <w:rPr>
          <w:noProof/>
        </w:rPr>
        <w:t xml:space="preserve"> (σσ. 584-612). Αθήνα: Θεμέλιο.</w:t>
      </w:r>
    </w:p>
    <w:p w:rsidR="00E0754B" w:rsidRDefault="00E0754B" w:rsidP="00811FCE">
      <w:pPr>
        <w:pStyle w:val="Bibliography"/>
        <w:rPr>
          <w:noProof/>
        </w:rPr>
      </w:pPr>
      <w:r>
        <w:rPr>
          <w:noProof/>
        </w:rPr>
        <w:t xml:space="preserve">Μαυρίκου, Μ. (2012). </w:t>
      </w:r>
      <w:r>
        <w:rPr>
          <w:i/>
          <w:iCs/>
          <w:noProof/>
        </w:rPr>
        <w:t>Η Προσαρμογή της Δημόσιας Διοίκησης για τη Διαχείριση και τον Έλεγχο των Διαρθρωτικών Πολιτικών της Ευρωπαϊκής Ένωσης.</w:t>
      </w:r>
      <w:r>
        <w:rPr>
          <w:noProof/>
        </w:rPr>
        <w:t xml:space="preserve"> Αθήνα: Πανεπιστήμιο Αθηνών (Διδακτορική Διατριβή). </w:t>
      </w:r>
    </w:p>
    <w:p w:rsidR="00E0754B" w:rsidRDefault="00E0754B" w:rsidP="00811FCE">
      <w:pPr>
        <w:pStyle w:val="Bibliography"/>
        <w:rPr>
          <w:noProof/>
        </w:rPr>
      </w:pPr>
      <w:r w:rsidRPr="00952905">
        <w:rPr>
          <w:noProof/>
        </w:rPr>
        <w:t xml:space="preserve">Παγουλάτος, Γ. (2007). "Δημόσια Διοίκηση, Πολιτικό Σύστημα, Οικονομία: Οι Δομικοί Περιορισμοί". Στο Τ. Γιαννίτσης (Επιμ.), </w:t>
      </w:r>
      <w:r w:rsidRPr="00952905">
        <w:rPr>
          <w:i/>
          <w:noProof/>
        </w:rPr>
        <w:t>Ελληνική Οικονομία: Κρίσιμα Ζητήματα Οικονομικής Πολιτικής</w:t>
      </w:r>
      <w:r w:rsidRPr="00952905">
        <w:rPr>
          <w:noProof/>
        </w:rPr>
        <w:t xml:space="preserve"> (σσ. 211‐222). Αθήνα: Ιστορικό Αρχείο Alpha Bank</w:t>
      </w:r>
    </w:p>
    <w:p w:rsidR="00E0754B" w:rsidRDefault="00E0754B" w:rsidP="00811FCE">
      <w:pPr>
        <w:pStyle w:val="Bibliography"/>
        <w:rPr>
          <w:noProof/>
        </w:rPr>
      </w:pPr>
      <w:r>
        <w:rPr>
          <w:noProof/>
        </w:rPr>
        <w:t xml:space="preserve">Παπούλιας, Δ. (2008). «Δημόσιες Πολιτικές: Τι εμποδίζει την εφαρμογή τους». Στο Τ. Γιαννίτσης (Επιμ.), </w:t>
      </w:r>
      <w:r>
        <w:rPr>
          <w:i/>
          <w:iCs/>
          <w:noProof/>
        </w:rPr>
        <w:t>Ελληνική Οικονομία: Κρίσιμα Ζητήματα Οικονομικής Πολιτικής</w:t>
      </w:r>
      <w:r>
        <w:rPr>
          <w:noProof/>
        </w:rPr>
        <w:t xml:space="preserve"> (σσ. 185-209). Αθήνα: Ιστορικό Αρχείο Alpha Bank.</w:t>
      </w:r>
    </w:p>
    <w:p w:rsidR="00E0754B" w:rsidRDefault="00E0754B" w:rsidP="00811FCE">
      <w:pPr>
        <w:pStyle w:val="Bibliography"/>
        <w:rPr>
          <w:noProof/>
        </w:rPr>
      </w:pPr>
      <w:r>
        <w:rPr>
          <w:noProof/>
        </w:rPr>
        <w:t xml:space="preserve">Πασσάς, Α., &amp; Πετράκη, Ε. (2009). "Η Ελληνική Διοίκηση στην Ενωσιακή Πολιτική Διαδικασία". Στο Α. Πασσάς, &amp; Θ. Τσέκος (Επιμ.), </w:t>
      </w:r>
      <w:r>
        <w:rPr>
          <w:i/>
          <w:iCs/>
          <w:noProof/>
        </w:rPr>
        <w:t>Εθνική Διοίκηση και Ευρωπαϊκή Ολοκλήρωση: Η Ελληνική Εμπειρία</w:t>
      </w:r>
      <w:r>
        <w:rPr>
          <w:noProof/>
        </w:rPr>
        <w:t xml:space="preserve"> (σσ. 143-197). Αθήνα: Παπαζήσης.</w:t>
      </w:r>
    </w:p>
    <w:p w:rsidR="00E0754B" w:rsidRDefault="00E0754B" w:rsidP="00CC3AFE">
      <w:pPr>
        <w:pStyle w:val="Bibliography"/>
        <w:rPr>
          <w:noProof/>
        </w:rPr>
      </w:pPr>
      <w:r>
        <w:rPr>
          <w:noProof/>
        </w:rPr>
        <w:t xml:space="preserve">Σπανού, Κ. (2001). </w:t>
      </w:r>
      <w:r>
        <w:rPr>
          <w:i/>
          <w:iCs/>
          <w:noProof/>
        </w:rPr>
        <w:t>Ελληνική Διοίκηση και Ευρωπαϊκή Ολοκλήρωση.</w:t>
      </w:r>
      <w:r>
        <w:rPr>
          <w:noProof/>
        </w:rPr>
        <w:t xml:space="preserve"> Αθήνα: Παπαζήσης.</w:t>
      </w:r>
    </w:p>
    <w:p w:rsidR="00E0754B" w:rsidRDefault="00E0754B" w:rsidP="00CC3AFE">
      <w:pPr>
        <w:pStyle w:val="Bibliography"/>
        <w:rPr>
          <w:noProof/>
        </w:rPr>
      </w:pPr>
      <w:r>
        <w:rPr>
          <w:noProof/>
        </w:rPr>
        <w:t xml:space="preserve">Σπανού, Κ. (2010). "Αδυναμία Αυτοδιόρθωσης; Παράγοντες Υπονόμευσης των Εξορθολογιστικών Παρεμβάσεων". Στο Κ. Σπανού (Επιμ.), </w:t>
      </w:r>
      <w:r>
        <w:rPr>
          <w:i/>
          <w:iCs/>
          <w:noProof/>
        </w:rPr>
        <w:t>Δημόσιες Πολιτικές στην Ελλάδα - Όψεις και Αντιφάσεις</w:t>
      </w:r>
      <w:r>
        <w:rPr>
          <w:noProof/>
        </w:rPr>
        <w:t xml:space="preserve"> (σσ. 285-317). Αθήνα: Παπαζήσης.</w:t>
      </w:r>
    </w:p>
    <w:p w:rsidR="00E0754B" w:rsidRDefault="00E0754B" w:rsidP="00864173">
      <w:pPr>
        <w:pStyle w:val="Bibliography"/>
        <w:rPr>
          <w:noProof/>
        </w:rPr>
      </w:pPr>
      <w:r w:rsidRPr="00AA0295">
        <w:rPr>
          <w:noProof/>
        </w:rPr>
        <w:t>Σπανού, Κ. (2011)</w:t>
      </w:r>
      <w:r>
        <w:rPr>
          <w:noProof/>
        </w:rPr>
        <w:t>.</w:t>
      </w:r>
      <w:r w:rsidRPr="00AA0295">
        <w:rPr>
          <w:noProof/>
        </w:rPr>
        <w:t xml:space="preserve"> «Η Αναμόρφωση του Συστήματος Προσλήψεων. Παλιές Προκλήσεις και Νέες Απαντήσεις», στο: Χρυσανθάκης, Χ., Σπανού, Κ., Ντουχάνης, Χ. και Σ. Κτιστάκη, </w:t>
      </w:r>
      <w:r w:rsidRPr="00D818FA">
        <w:rPr>
          <w:i/>
          <w:noProof/>
        </w:rPr>
        <w:t>Η Πρόσφατη Διοικητική Μεταρρύθμιση</w:t>
      </w:r>
      <w:r>
        <w:rPr>
          <w:noProof/>
        </w:rPr>
        <w:t xml:space="preserve"> (</w:t>
      </w:r>
      <w:r w:rsidRPr="00D818FA">
        <w:rPr>
          <w:noProof/>
        </w:rPr>
        <w:t>σσ. 31-50</w:t>
      </w:r>
      <w:r>
        <w:rPr>
          <w:noProof/>
        </w:rPr>
        <w:t>).</w:t>
      </w:r>
      <w:r w:rsidRPr="00AA0295">
        <w:rPr>
          <w:noProof/>
        </w:rPr>
        <w:t xml:space="preserve"> Αθήνα: Α.Ν. Σάκκουλας</w:t>
      </w:r>
      <w:r>
        <w:rPr>
          <w:noProof/>
        </w:rPr>
        <w:t>.</w:t>
      </w:r>
    </w:p>
    <w:p w:rsidR="00E0754B" w:rsidRDefault="00E0754B" w:rsidP="00DC2757">
      <w:pPr>
        <w:pStyle w:val="Bibliography"/>
        <w:rPr>
          <w:noProof/>
        </w:rPr>
      </w:pPr>
      <w:r>
        <w:rPr>
          <w:noProof/>
        </w:rPr>
        <w:t xml:space="preserve">Συνήγορος του Πολίτη. (2006). </w:t>
      </w:r>
      <w:r>
        <w:rPr>
          <w:i/>
          <w:iCs/>
          <w:noProof/>
        </w:rPr>
        <w:t>Προσλήψεις στο Δημόσιο Τομέα - Οι εκτός ΑΣΕΠ Διαδικασίες.</w:t>
      </w:r>
      <w:r>
        <w:rPr>
          <w:noProof/>
        </w:rPr>
        <w:t xml:space="preserve"> Αθήνα: Συνήγορος του Πολίτη. </w:t>
      </w:r>
    </w:p>
    <w:p w:rsidR="00E0754B" w:rsidRDefault="00E0754B" w:rsidP="00DC2757">
      <w:pPr>
        <w:pStyle w:val="Bibliography"/>
        <w:rPr>
          <w:noProof/>
        </w:rPr>
      </w:pPr>
      <w:r>
        <w:rPr>
          <w:noProof/>
        </w:rPr>
        <w:t xml:space="preserve">Τράπεζα της Ελλάδος. (2001). "Ευρωπαϊκοί Διαρθρωτικοί Πόροι: Ο Ρόλος τους στην Ανάπτυξη της Ελληνικής Οικονομίας". </w:t>
      </w:r>
      <w:r w:rsidRPr="00DC2757">
        <w:rPr>
          <w:i/>
          <w:noProof/>
        </w:rPr>
        <w:t>Οικονομικό Δελτίο</w:t>
      </w:r>
      <w:r>
        <w:rPr>
          <w:noProof/>
        </w:rPr>
        <w:t xml:space="preserve"> (17), σσ. 25‐46.</w:t>
      </w:r>
    </w:p>
    <w:p w:rsidR="00E0754B" w:rsidRDefault="00E0754B" w:rsidP="00864173">
      <w:pPr>
        <w:pStyle w:val="Bibliography"/>
        <w:rPr>
          <w:noProof/>
        </w:rPr>
      </w:pPr>
      <w:r>
        <w:rPr>
          <w:noProof/>
        </w:rPr>
        <w:t xml:space="preserve">Τσέκος, Θ. Ν. (2009). "Ευρωπαϊκοί Ρυθμοί και Ελληνικοί Τρόποι: Η (Αβέβαιη) Ελληνική Πορεία προς τον (Ασαφή) Ευρωπαϊκό Διοικητικό Χώρο". Στο Α. Πασσάς, &amp; Θ. Τσέκος (Επιμ.), </w:t>
      </w:r>
      <w:r>
        <w:rPr>
          <w:i/>
          <w:iCs/>
          <w:noProof/>
        </w:rPr>
        <w:t>Εθνική Διοίκηση και Ευρωπαϊκή Ολοκλήρωση: Η Ελληνική Εμπειρία</w:t>
      </w:r>
      <w:r>
        <w:rPr>
          <w:noProof/>
        </w:rPr>
        <w:t xml:space="preserve"> (σσ. 93-142). Αθήνα: Παπαζήσης. </w:t>
      </w:r>
    </w:p>
    <w:p w:rsidR="00E0754B" w:rsidRDefault="00E0754B" w:rsidP="00864173">
      <w:pPr>
        <w:pStyle w:val="Bibliography"/>
        <w:rPr>
          <w:noProof/>
        </w:rPr>
      </w:pPr>
      <w:r>
        <w:rPr>
          <w:noProof/>
        </w:rPr>
        <w:t>Υπουργείο Εσωτερικών Δημόσιας Διοίκησης και Αποκέντρωσης. (2006). Τοπική Αυτοδιοίκηση στην Υπηρεσία του Πολίτη, με Σταθερούς Πόρους και Αναπτυξιακή Προοπτική Απολογισμός Έργου Διετίας - Προγραμματισμός Δράσεων για τους ΟΤΑ Πρώτου Βαθμού. Αθήνα: Υπουργείο Εσωτερικών, Δημόσιας Διοίκησης και Αποκέντρωσης.</w:t>
      </w:r>
    </w:p>
    <w:p w:rsidR="00E0754B" w:rsidRDefault="00E0754B" w:rsidP="00864173">
      <w:pPr>
        <w:pStyle w:val="Bibliography"/>
        <w:rPr>
          <w:noProof/>
        </w:rPr>
      </w:pPr>
      <w:r>
        <w:rPr>
          <w:noProof/>
        </w:rPr>
        <w:t xml:space="preserve">Υπουργείο Εσωτερικών Αποκέντρωσης και Ηλεκτρονικής Διακυβέρνησης. (2010). </w:t>
      </w:r>
      <w:r>
        <w:rPr>
          <w:i/>
          <w:iCs/>
          <w:noProof/>
        </w:rPr>
        <w:t>Αιτιολογική Έκθεση για τη Νέα Αρχιτεκτονική της Αυτοδιοίκησης και της Αποκεντρωμένης Διοίκησης.</w:t>
      </w:r>
      <w:r>
        <w:rPr>
          <w:noProof/>
        </w:rPr>
        <w:t xml:space="preserve"> Αθήνα: Υπουργείο Εσωτερικών, Αποκέντρωσης και Ηλεκτρονικής Διακυβέρνησης. </w:t>
      </w:r>
    </w:p>
    <w:p w:rsidR="00E0754B" w:rsidRDefault="00E0754B" w:rsidP="00864173">
      <w:pPr>
        <w:pStyle w:val="Bibliography"/>
        <w:rPr>
          <w:noProof/>
        </w:rPr>
      </w:pPr>
      <w:r w:rsidRPr="000D6C53">
        <w:rPr>
          <w:noProof/>
        </w:rPr>
        <w:t>Υπουργείο Οικονομίας και Οικονομικών</w:t>
      </w:r>
      <w:r>
        <w:rPr>
          <w:noProof/>
        </w:rPr>
        <w:t>.</w:t>
      </w:r>
      <w:r w:rsidRPr="000D6C53">
        <w:rPr>
          <w:noProof/>
        </w:rPr>
        <w:t xml:space="preserve"> (2007). Εθνικό Στρατηγικό Πλαίσιο Αναφοράς 2007-2013. Αθήνα.</w:t>
      </w:r>
    </w:p>
    <w:p w:rsidR="00E0754B" w:rsidRDefault="00E0754B" w:rsidP="00811FCE">
      <w:pPr>
        <w:pStyle w:val="Bibliography"/>
        <w:rPr>
          <w:lang w:val="en-US"/>
        </w:rPr>
      </w:pPr>
      <w:r>
        <w:t xml:space="preserve">Χλέπας, Ν.‐Κ. (1994). </w:t>
      </w:r>
      <w:r w:rsidRPr="00864173">
        <w:rPr>
          <w:i/>
        </w:rPr>
        <w:t>Η Πολυβάθμια Αυτοδιοίκηση. Θεωρητικές Αναζητήσεις και Θεσμικές Μεταμορφώσεις</w:t>
      </w:r>
      <w:r>
        <w:t>. Αθήνα‐Κομοτηνή: Α.Ν. Σάκκουλας.</w:t>
      </w:r>
      <w:r w:rsidRPr="00B80CF2">
        <w:t xml:space="preserve"> </w:t>
      </w:r>
    </w:p>
    <w:p w:rsidR="00E0754B" w:rsidRPr="00B80CF2" w:rsidRDefault="00E0754B" w:rsidP="00811FCE">
      <w:pPr>
        <w:pStyle w:val="Bibliography"/>
        <w:rPr>
          <w:lang w:val="en-US"/>
        </w:rPr>
      </w:pPr>
      <w:r w:rsidRPr="00B80CF2">
        <w:t xml:space="preserve">Χλέπας, Ν.‐Κ. (1999). </w:t>
      </w:r>
      <w:r w:rsidRPr="00B80CF2">
        <w:rPr>
          <w:i/>
        </w:rPr>
        <w:t>Η Τοπική Διοίκηση στην Ελλάδα: Ο Διαλεκτικός Ανταγωνισμός της Αποκέντρωσης με την Αυτοδιοίκηση</w:t>
      </w:r>
      <w:r w:rsidRPr="00B80CF2">
        <w:t xml:space="preserve">. </w:t>
      </w:r>
      <w:r w:rsidRPr="00B80CF2">
        <w:rPr>
          <w:lang w:val="en-US"/>
        </w:rPr>
        <w:t>Αθήνα‐Κομοτηνή: Α.Ν. Σάκκουλας</w:t>
      </w:r>
      <w:r>
        <w:rPr>
          <w:lang w:val="en-US"/>
        </w:rPr>
        <w:t>.</w:t>
      </w:r>
    </w:p>
    <w:p w:rsidR="00E0754B" w:rsidRPr="009D355C" w:rsidRDefault="00E0754B" w:rsidP="00811FCE">
      <w:pPr>
        <w:spacing w:line="288" w:lineRule="auto"/>
      </w:pPr>
    </w:p>
    <w:sectPr w:rsidR="00E0754B" w:rsidRPr="009D355C" w:rsidSect="001B60AC">
      <w:footerReference w:type="default" r:id="rId7"/>
      <w:pgSz w:w="11906" w:h="16838"/>
      <w:pgMar w:top="1418" w:right="1531" w:bottom="1418" w:left="1531" w:header="709" w:footer="16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754B" w:rsidRDefault="00E0754B" w:rsidP="006E0DF4">
      <w:pPr>
        <w:spacing w:line="240" w:lineRule="auto"/>
      </w:pPr>
      <w:r>
        <w:separator/>
      </w:r>
    </w:p>
  </w:endnote>
  <w:endnote w:type="continuationSeparator" w:id="0">
    <w:p w:rsidR="00E0754B" w:rsidRDefault="00E0754B" w:rsidP="006E0DF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54B" w:rsidRDefault="00E0754B">
    <w:pPr>
      <w:pStyle w:val="Footer"/>
      <w:jc w:val="center"/>
    </w:pPr>
    <w:r w:rsidRPr="00542865">
      <w:rPr>
        <w:sz w:val="18"/>
        <w:szCs w:val="18"/>
      </w:rPr>
      <w:fldChar w:fldCharType="begin"/>
    </w:r>
    <w:r w:rsidRPr="00542865">
      <w:rPr>
        <w:sz w:val="18"/>
        <w:szCs w:val="18"/>
      </w:rPr>
      <w:instrText xml:space="preserve"> PAGE   \* MERGEFORMAT </w:instrText>
    </w:r>
    <w:r w:rsidRPr="00542865">
      <w:rPr>
        <w:sz w:val="18"/>
        <w:szCs w:val="18"/>
      </w:rPr>
      <w:fldChar w:fldCharType="separate"/>
    </w:r>
    <w:r>
      <w:rPr>
        <w:noProof/>
        <w:sz w:val="18"/>
        <w:szCs w:val="18"/>
      </w:rPr>
      <w:t>2</w:t>
    </w:r>
    <w:r w:rsidRPr="00542865">
      <w:rPr>
        <w:sz w:val="18"/>
        <w:szCs w:val="18"/>
      </w:rPr>
      <w:fldChar w:fldCharType="end"/>
    </w:r>
  </w:p>
  <w:p w:rsidR="00E0754B" w:rsidRDefault="00E075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754B" w:rsidRDefault="00E0754B" w:rsidP="006E0DF4">
      <w:pPr>
        <w:spacing w:line="240" w:lineRule="auto"/>
      </w:pPr>
      <w:r>
        <w:separator/>
      </w:r>
    </w:p>
  </w:footnote>
  <w:footnote w:type="continuationSeparator" w:id="0">
    <w:p w:rsidR="00E0754B" w:rsidRDefault="00E0754B" w:rsidP="006E0DF4">
      <w:pPr>
        <w:spacing w:line="240" w:lineRule="auto"/>
      </w:pPr>
      <w:r>
        <w:continuationSeparator/>
      </w:r>
    </w:p>
  </w:footnote>
  <w:footnote w:id="1">
    <w:p w:rsidR="00E0754B" w:rsidRPr="003E4B11" w:rsidRDefault="00E0754B">
      <w:pPr>
        <w:pStyle w:val="FootnoteText"/>
      </w:pPr>
      <w:r w:rsidRPr="003E4B11">
        <w:t xml:space="preserve">* </w:t>
      </w:r>
      <w:r>
        <w:t>Διδάκτωρ Τμήματος Πολιτικής Επιστήμης και Δημόσιας Διοίκησης ΕΚΠΑ, ΜΔΕ Δημόσιας Πολιτικής και Διοίκησης ΟΠΑ. Θερμές ευχαριστίες απευθύνονται στη μεταδιδακτορική ερευνήτρια του ΕΚΠΑ Μαντώ Λαμπροπούλου για τα εποικοδομητικά σχόλια.</w:t>
      </w:r>
    </w:p>
    <w:p w:rsidR="00E0754B" w:rsidRDefault="00E0754B">
      <w:pPr>
        <w:pStyle w:val="FootnoteText"/>
      </w:pPr>
      <w:r>
        <w:rPr>
          <w:rStyle w:val="FootnoteReference"/>
        </w:rPr>
        <w:footnoteRef/>
      </w:r>
      <w:r>
        <w:t xml:space="preserve"> Για λόγους απλοποίησης υιοθετείται εφ’ εξής το ακρωνύμιο «</w:t>
      </w:r>
      <w:r w:rsidRPr="00932A10">
        <w:t>Ε</w:t>
      </w:r>
      <w:r>
        <w:t>.</w:t>
      </w:r>
      <w:r w:rsidRPr="00932A10">
        <w:t>Ε</w:t>
      </w:r>
      <w:r>
        <w:t>.» για να αποδώσει τις θεσμικές μορφές που έλαβε το ευρωπαϊκό οικοδόμημα από το 1981 και έπειτα (</w:t>
      </w:r>
      <w:r w:rsidRPr="00857D7F">
        <w:t>Ευρωπαϊκή Οικονομική Κοινότητα, Ευρωπαϊκές Κοινότητες</w:t>
      </w:r>
      <w:r>
        <w:t>).</w:t>
      </w:r>
      <w:r w:rsidRPr="003E4B11">
        <w:t xml:space="preserve"> </w:t>
      </w:r>
    </w:p>
  </w:footnote>
  <w:footnote w:id="2">
    <w:p w:rsidR="00E0754B" w:rsidRDefault="00E0754B">
      <w:pPr>
        <w:pStyle w:val="FootnoteText"/>
      </w:pPr>
      <w:r>
        <w:rPr>
          <w:rStyle w:val="FootnoteReference"/>
        </w:rPr>
        <w:footnoteRef/>
      </w:r>
      <w:r>
        <w:t xml:space="preserve"> Η απόδοση του εξευρωπαϊσμού διακρίνεται από εννοιολογικό «πληθωρισμό». Ο</w:t>
      </w:r>
      <w:r w:rsidRPr="00AD6EF7">
        <w:t xml:space="preserve"> </w:t>
      </w:r>
      <w:r>
        <w:rPr>
          <w:lang w:val="en-US"/>
        </w:rPr>
        <w:t>Radaelli</w:t>
      </w:r>
      <w:r w:rsidRPr="00AD6EF7">
        <w:rPr>
          <w:noProof/>
        </w:rPr>
        <w:t xml:space="preserve"> (2003)</w:t>
      </w:r>
      <w:r w:rsidRPr="00AD6EF7">
        <w:t xml:space="preserve"> </w:t>
      </w:r>
      <w:r>
        <w:t>παρέχει</w:t>
      </w:r>
      <w:r w:rsidRPr="00AD6EF7">
        <w:t xml:space="preserve"> </w:t>
      </w:r>
      <w:r>
        <w:t>έναν</w:t>
      </w:r>
      <w:r w:rsidRPr="00AD6EF7">
        <w:t xml:space="preserve"> </w:t>
      </w:r>
      <w:r>
        <w:t>πλήρη</w:t>
      </w:r>
      <w:r w:rsidRPr="00AD6EF7">
        <w:t xml:space="preserve"> </w:t>
      </w:r>
      <w:r>
        <w:t>ορισμό σύμφωνα με τον οποίο το φαινόμενο συνιστούν διαδικασίες «</w:t>
      </w:r>
      <w:r w:rsidRPr="00AF383C">
        <w:t>α) δόμησης, β) διάχυσης και, γ) θεσμοθέτησης τυπικών και άτυπων κανόνων, διαδικασιών, παραδειγμάτων πολιτικής, στυλ, πρακτικών και κοινών πεποιθήσεων και νορμών που πρώτα ορίζονται και παγιώνονται κατά τη διαδικασία δημιουργίας πολιτικής της ΕΕ και, εν συνεχεία, ενσωματώνονται στη λογική των εσωτερικών λόγων, ταυτοτήτων, πολιτικών δομών και δημόσιων πολιτικών</w:t>
      </w:r>
      <w:r>
        <w:t xml:space="preserve">». Εναλλακτικά βλ.: </w:t>
      </w:r>
      <w:r>
        <w:rPr>
          <w:lang w:val="en-US"/>
        </w:rPr>
        <w:t>B</w:t>
      </w:r>
      <w:r w:rsidRPr="003120B7">
        <w:t>ö</w:t>
      </w:r>
      <w:r>
        <w:rPr>
          <w:lang w:val="en-US"/>
        </w:rPr>
        <w:t>rzel</w:t>
      </w:r>
      <w:r w:rsidRPr="002131A6">
        <w:t xml:space="preserve"> &amp; </w:t>
      </w:r>
      <w:r>
        <w:rPr>
          <w:lang w:val="en-US"/>
        </w:rPr>
        <w:t>Risse</w:t>
      </w:r>
      <w:r w:rsidRPr="002131A6">
        <w:t xml:space="preserve"> (2006).</w:t>
      </w:r>
    </w:p>
  </w:footnote>
  <w:footnote w:id="3">
    <w:p w:rsidR="00E0754B" w:rsidRDefault="00E0754B">
      <w:pPr>
        <w:pStyle w:val="FootnoteText"/>
      </w:pPr>
      <w:r>
        <w:rPr>
          <w:rStyle w:val="FootnoteReference"/>
        </w:rPr>
        <w:footnoteRef/>
      </w:r>
      <w:r>
        <w:t xml:space="preserve"> Υιοθετείται ως κυρίαρχη στο πεδίο των ευρωπαϊκών σπουδών. Λοιπές διαστάσεις εξευρωπαϊσμού (π.χ. «από τη βάση προς την κορυφή» – </w:t>
      </w:r>
      <w:r w:rsidRPr="00AA2FEE">
        <w:t>“</w:t>
      </w:r>
      <w:r>
        <w:rPr>
          <w:lang w:val="en-US"/>
        </w:rPr>
        <w:t>bottom</w:t>
      </w:r>
      <w:r w:rsidRPr="00D64D64">
        <w:t>-</w:t>
      </w:r>
      <w:r>
        <w:rPr>
          <w:lang w:val="en-US"/>
        </w:rPr>
        <w:t>up</w:t>
      </w:r>
      <w:r>
        <w:t>”) δεν αποτελούν αντικείμενο έρευνας της παρούσας ανάλυσης.</w:t>
      </w:r>
      <w:r w:rsidRPr="00D64D64">
        <w:t xml:space="preserve"> </w:t>
      </w:r>
      <w:r>
        <w:t>Σχετικά με την προώθηση εγχώριων προτιμήσεων πολιτικής στην Ε.Ε. και την ανταπόκριση της ελληνικής διοίκησης στην ενωσιακή διαδικασία λήψης αποφάσεων βλ. ενδεικτικά:</w:t>
      </w:r>
      <w:r w:rsidRPr="00F16727">
        <w:t xml:space="preserve"> </w:t>
      </w:r>
      <w:r>
        <w:rPr>
          <w:noProof/>
        </w:rPr>
        <w:t>Ιωακειμίδης (1993)</w:t>
      </w:r>
      <w:r>
        <w:sym w:font="Wingdings" w:char="F0A0"/>
      </w:r>
      <w:r>
        <w:t xml:space="preserve"> </w:t>
      </w:r>
      <w:r>
        <w:rPr>
          <w:noProof/>
        </w:rPr>
        <w:t>Μακρυδημήτρης &amp; Πασσάς (1994)</w:t>
      </w:r>
      <w:r>
        <w:sym w:font="Wingdings" w:char="F0A0"/>
      </w:r>
      <w:r w:rsidRPr="003570DC">
        <w:rPr>
          <w:noProof/>
        </w:rPr>
        <w:t xml:space="preserve"> Πασσάς &amp; Πετράκη </w:t>
      </w:r>
      <w:r>
        <w:rPr>
          <w:noProof/>
        </w:rPr>
        <w:t>(</w:t>
      </w:r>
      <w:r w:rsidRPr="003570DC">
        <w:rPr>
          <w:noProof/>
        </w:rPr>
        <w:t>2009</w:t>
      </w:r>
      <w:r>
        <w:rPr>
          <w:noProof/>
        </w:rPr>
        <w:t>)</w:t>
      </w:r>
      <w:r>
        <w:sym w:font="Wingdings" w:char="F0A0"/>
      </w:r>
      <w:r>
        <w:t xml:space="preserve"> </w:t>
      </w:r>
      <w:r w:rsidRPr="00730884">
        <w:t>Σπανού (2001).</w:t>
      </w:r>
    </w:p>
  </w:footnote>
  <w:footnote w:id="4">
    <w:p w:rsidR="00E0754B" w:rsidRDefault="00E0754B">
      <w:pPr>
        <w:pStyle w:val="FootnoteText"/>
      </w:pPr>
      <w:r>
        <w:rPr>
          <w:rStyle w:val="FootnoteReference"/>
        </w:rPr>
        <w:footnoteRef/>
      </w:r>
      <w:r>
        <w:t xml:space="preserve"> Άρθρο 197, Ενοποιημένη απόδοση της Συνθήκης για την ΕΕ και της Συνθήκης για τη Λειτουργία της Ε.Ε., Επίσημη Εφημερίδα της Ευρωπαϊκής Ένωσης </w:t>
      </w:r>
      <w:r>
        <w:rPr>
          <w:lang w:val="en-US"/>
        </w:rPr>
        <w:t>C</w:t>
      </w:r>
      <w:r>
        <w:t xml:space="preserve"> 115, 2008.</w:t>
      </w:r>
    </w:p>
  </w:footnote>
  <w:footnote w:id="5">
    <w:p w:rsidR="00E0754B" w:rsidRDefault="00E0754B">
      <w:pPr>
        <w:pStyle w:val="FootnoteText"/>
      </w:pPr>
      <w:r>
        <w:rPr>
          <w:rStyle w:val="FootnoteReference"/>
        </w:rPr>
        <w:footnoteRef/>
      </w:r>
      <w:r>
        <w:t xml:space="preserve"> Εστιάζει κυρίως σε θέματα οργανωσιακής αυτο-αξιολόγησης και ελέγχου.</w:t>
      </w:r>
    </w:p>
  </w:footnote>
  <w:footnote w:id="6">
    <w:p w:rsidR="00E0754B" w:rsidRDefault="00E0754B">
      <w:pPr>
        <w:pStyle w:val="FootnoteText"/>
      </w:pPr>
      <w:r>
        <w:rPr>
          <w:rStyle w:val="FootnoteReference"/>
        </w:rPr>
        <w:footnoteRef/>
      </w:r>
      <w:r>
        <w:t xml:space="preserve"> Π.χ. ήταν προαιρετικής (ήπιας/ελαστικής) φύσης ή (εξ)αναγκαστικού (ανελαστικού) περιεχομένου; Ο χαρακτήρας των πιέσεων συνδέεται με τον μηχανισμό μεταφοράς του στο εγχώριο πεδίο.</w:t>
      </w:r>
    </w:p>
  </w:footnote>
  <w:footnote w:id="7">
    <w:p w:rsidR="00E0754B" w:rsidRDefault="00E0754B" w:rsidP="006B7EC5">
      <w:pPr>
        <w:pStyle w:val="FootnoteText"/>
      </w:pPr>
      <w:r>
        <w:rPr>
          <w:rStyle w:val="FootnoteReference"/>
        </w:rPr>
        <w:footnoteRef/>
      </w:r>
      <w:r>
        <w:t xml:space="preserve"> Η έκθεση </w:t>
      </w:r>
      <w:r>
        <w:rPr>
          <w:lang w:val="en-US"/>
        </w:rPr>
        <w:t>Porter</w:t>
      </w:r>
      <w:r w:rsidRPr="00C23E17">
        <w:t xml:space="preserve"> </w:t>
      </w:r>
      <w:r>
        <w:t>αποτέλεσε το κείμενο αμερικανών εμπειρογνωμόνων που αφορούσε την ανασυγκρότηση της Ελλάδας μετά τη λήξη του Β΄ παγκοσμίου πολέμου. Το Γ΄ κεφάλαιο είχε τίτλο: «Μέτρα δια την πραγματοποίησιν της διοικητικής μεταρρυθμίσεως».</w:t>
      </w:r>
    </w:p>
  </w:footnote>
  <w:footnote w:id="8">
    <w:p w:rsidR="00E0754B" w:rsidRDefault="00E0754B">
      <w:pPr>
        <w:pStyle w:val="FootnoteText"/>
      </w:pPr>
      <w:r>
        <w:rPr>
          <w:rStyle w:val="FootnoteReference"/>
        </w:rPr>
        <w:footnoteRef/>
      </w:r>
      <w:r>
        <w:t xml:space="preserve"> Σχετικά με εκθέσεις εμπειρογνωμόνων για τη δημόσια διοίκηση βλ.: </w:t>
      </w:r>
      <w:r>
        <w:rPr>
          <w:noProof/>
        </w:rPr>
        <w:t>Μακρυδημήτρης &amp; Μιχαλόπουλος</w:t>
      </w:r>
      <w:r w:rsidRPr="000D1609">
        <w:rPr>
          <w:noProof/>
        </w:rPr>
        <w:t xml:space="preserve"> </w:t>
      </w:r>
      <w:r>
        <w:rPr>
          <w:noProof/>
        </w:rPr>
        <w:t>(</w:t>
      </w:r>
      <w:r w:rsidRPr="000D1609">
        <w:rPr>
          <w:noProof/>
        </w:rPr>
        <w:t>1990</w:t>
      </w:r>
      <w:r>
        <w:rPr>
          <w:noProof/>
        </w:rPr>
        <w:t>)</w:t>
      </w:r>
      <w:r w:rsidRPr="005728B6">
        <w:rPr>
          <w:noProof/>
        </w:rPr>
        <w:t xml:space="preserve"> (</w:t>
      </w:r>
      <w:r>
        <w:rPr>
          <w:noProof/>
        </w:rPr>
        <w:t>επιμ.</w:t>
      </w:r>
      <w:r w:rsidRPr="003A400E">
        <w:rPr>
          <w:noProof/>
        </w:rPr>
        <w:t>).</w:t>
      </w:r>
    </w:p>
  </w:footnote>
  <w:footnote w:id="9">
    <w:p w:rsidR="00E0754B" w:rsidRDefault="00E0754B" w:rsidP="0010377E">
      <w:pPr>
        <w:pStyle w:val="FootnoteText"/>
      </w:pPr>
      <w:r>
        <w:rPr>
          <w:rStyle w:val="FootnoteReference"/>
        </w:rPr>
        <w:footnoteRef/>
      </w:r>
      <w:r>
        <w:t xml:space="preserve"> </w:t>
      </w:r>
      <w:r>
        <w:rPr>
          <w:lang w:val="en-US"/>
        </w:rPr>
        <w:t>Ibid</w:t>
      </w:r>
      <w:r>
        <w:t>.</w:t>
      </w:r>
    </w:p>
  </w:footnote>
  <w:footnote w:id="10">
    <w:p w:rsidR="00E0754B" w:rsidRDefault="00E0754B" w:rsidP="004816A6">
      <w:pPr>
        <w:pStyle w:val="FootnoteText"/>
      </w:pPr>
      <w:r>
        <w:rPr>
          <w:rStyle w:val="FootnoteReference"/>
        </w:rPr>
        <w:footnoteRef/>
      </w:r>
      <w:r>
        <w:t xml:space="preserve"> Ως διοικητική ικανότητα ορίζεται η ικανότητα ενός διοικητικού θεσμού να επιτυγχάνει αποτελεσματικά στόχους πολιτικής με σχέσεις αποδοτικής και οικονομικής αξιοποίησης των διαθέσιμων πόρων (ανθρώπινων, οικονομικών) εντός κανονιστικού πλαισίου, διαδικασιών και πολιτικού περιβάλλοντος λειτουργίας.</w:t>
      </w:r>
    </w:p>
  </w:footnote>
  <w:footnote w:id="11">
    <w:p w:rsidR="00E0754B" w:rsidRDefault="00E0754B">
      <w:pPr>
        <w:pStyle w:val="FootnoteText"/>
      </w:pPr>
      <w:r>
        <w:rPr>
          <w:rStyle w:val="FootnoteReference"/>
        </w:rPr>
        <w:footnoteRef/>
      </w:r>
      <w:r>
        <w:t xml:space="preserve"> Σχετικά με την πολιτική συνοχής (εναλλακτικά: περιφερειακή/διαρθρωτική πολιτική) βλ.: Ανδρέου (2016)</w:t>
      </w:r>
      <w:r>
        <w:sym w:font="Wingdings" w:char="F09E"/>
      </w:r>
      <w:r>
        <w:t xml:space="preserve"> </w:t>
      </w:r>
      <w:r>
        <w:rPr>
          <w:noProof/>
        </w:rPr>
        <w:t>Μαραβέγιας &amp; Ανδρέου (2007)</w:t>
      </w:r>
      <w:r>
        <w:t xml:space="preserve">. Επίσης: </w:t>
      </w:r>
      <w:r>
        <w:rPr>
          <w:lang w:val="en-US"/>
        </w:rPr>
        <w:t>Andreou</w:t>
      </w:r>
      <w:r w:rsidRPr="00CC3AFE">
        <w:t xml:space="preserve"> (2016)</w:t>
      </w:r>
      <w:r>
        <w:t>.</w:t>
      </w:r>
    </w:p>
  </w:footnote>
  <w:footnote w:id="12">
    <w:p w:rsidR="00E0754B" w:rsidRDefault="00E0754B" w:rsidP="00282D9A">
      <w:pPr>
        <w:pStyle w:val="FootnoteText"/>
      </w:pPr>
      <w:r>
        <w:rPr>
          <w:rStyle w:val="FootnoteReference"/>
        </w:rPr>
        <w:footnoteRef/>
      </w:r>
      <w:r>
        <w:t xml:space="preserve"> Ενδεικτικό στοιχείο της χαμηλής διοικητικής ικανότητας είναι ότι: «</w:t>
      </w:r>
      <w:r w:rsidRPr="00F16727">
        <w:t>ΟΤΑ με πληθυσμό κάτω των 10.000 κατοίκων, το 82% δηλαδή του συνόλου των ΟΤΑ, ενέταξαν κατά μέσο όρο 9 έργα στο Γ΄ ΚΠΣ, όταν οι Δήμοι με πληθυσμό πάνω από 100.000 κατοίκους είχαν αντίστοιχο μέσο όρο 94</w:t>
      </w:r>
      <w:r>
        <w:t>». Σχετ.: Έκθεση Αξιολόγησης Συνεπειών Ρυθμίσεων του Σχεδίου Νόμου: «</w:t>
      </w:r>
      <w:r w:rsidRPr="00F16727">
        <w:t xml:space="preserve">Νέα Αρχιτεκτονική της Αυτοδιοίκησης και της Αποκεντρωμένης Διοίκησης </w:t>
      </w:r>
      <w:r>
        <w:t>‘</w:t>
      </w:r>
      <w:r w:rsidRPr="00F16727">
        <w:t>Πρόγραμμα Καλλικράτης</w:t>
      </w:r>
      <w:r>
        <w:t>’</w:t>
      </w:r>
      <w:r w:rsidRPr="00F16727">
        <w:t>»</w:t>
      </w:r>
      <w:r>
        <w:t xml:space="preserve">, σελ. 66. Συναφώς, στην ανάλυση του Παγουλάτου (2007, σ. 217) για τον </w:t>
      </w:r>
      <w:r w:rsidRPr="00952905">
        <w:t>πολιτικο</w:t>
      </w:r>
      <w:r>
        <w:t>-διοικητικό μηχανισμό ως (έναν</w:t>
      </w:r>
      <w:r w:rsidRPr="00952905">
        <w:t>) πυλώνα μεταρρυθμιστικής στρατηγικής</w:t>
      </w:r>
      <w:r>
        <w:t xml:space="preserve"> </w:t>
      </w:r>
      <w:r w:rsidRPr="00952905">
        <w:t>υπενθυμίζε</w:t>
      </w:r>
      <w:r>
        <w:t>τα</w:t>
      </w:r>
      <w:r w:rsidRPr="00952905">
        <w:t>ι ότι</w:t>
      </w:r>
      <w:r>
        <w:t xml:space="preserve"> δεν υπάρχουν </w:t>
      </w:r>
      <w:r w:rsidRPr="00952905">
        <w:t>«οικονομίες κλίμακας που αυξάνουν την αποτελεσματικ</w:t>
      </w:r>
      <w:r>
        <w:t xml:space="preserve">ότητα» και επισημαίνεται –μεταξύ άλλων– η παράμετρος της </w:t>
      </w:r>
      <w:r w:rsidRPr="00952905">
        <w:t>«ευ</w:t>
      </w:r>
      <w:r>
        <w:t>ρείας διοικητικής ανικανότητας»</w:t>
      </w:r>
      <w:r w:rsidRPr="00952905">
        <w:t xml:space="preserve"> </w:t>
      </w:r>
      <w:r>
        <w:t xml:space="preserve"> ως παθογενής κατάσταση που έχρηζε</w:t>
      </w:r>
      <w:r w:rsidRPr="00952905">
        <w:t xml:space="preserve"> μεταρρυθμιστικής προτεραιότητας</w:t>
      </w:r>
      <w:r w:rsidRPr="00CC3AFE">
        <w:t>.</w:t>
      </w:r>
    </w:p>
  </w:footnote>
  <w:footnote w:id="13">
    <w:p w:rsidR="00E0754B" w:rsidRDefault="00E0754B" w:rsidP="006334E0">
      <w:pPr>
        <w:pStyle w:val="FootnoteText"/>
      </w:pPr>
      <w:r>
        <w:rPr>
          <w:rStyle w:val="FootnoteReference"/>
        </w:rPr>
        <w:footnoteRef/>
      </w:r>
      <w:r>
        <w:t xml:space="preserve"> Εναλλακτικά: «βαθμός καταλληλότητας».</w:t>
      </w:r>
    </w:p>
  </w:footnote>
  <w:footnote w:id="14">
    <w:p w:rsidR="00E0754B" w:rsidRDefault="00E0754B" w:rsidP="00E443EA">
      <w:pPr>
        <w:pStyle w:val="FootnoteText"/>
      </w:pPr>
      <w:r>
        <w:rPr>
          <w:rStyle w:val="FootnoteReference"/>
        </w:rPr>
        <w:footnoteRef/>
      </w:r>
      <w:r>
        <w:t xml:space="preserve"> Τα χρηματοδοτικά προγράμματα της Ε</w:t>
      </w:r>
      <w:r w:rsidRPr="00F409AF">
        <w:t>.</w:t>
      </w:r>
      <w:r>
        <w:t>Ε</w:t>
      </w:r>
      <w:r w:rsidRPr="00F409AF">
        <w:t>.</w:t>
      </w:r>
      <w:r>
        <w:t xml:space="preserve"> εντάσσονταν στα Κοινοτικά Πλαίσια Στήριξης (ΚΠΣ Ι, ΙΙ &amp; ΙΙΙ) των περιόδων 1989-2006 και στο Εθνικό Στρατηγικό Πλαίσιο Αναφοράς 2007-2013.</w:t>
      </w:r>
    </w:p>
  </w:footnote>
  <w:footnote w:id="15">
    <w:p w:rsidR="00E0754B" w:rsidRDefault="00E0754B">
      <w:pPr>
        <w:pStyle w:val="FootnoteText"/>
      </w:pPr>
      <w:r>
        <w:rPr>
          <w:rStyle w:val="FootnoteReference"/>
        </w:rPr>
        <w:footnoteRef/>
      </w:r>
      <w:r>
        <w:t xml:space="preserve"> Σχετ. βλ.: </w:t>
      </w:r>
      <w:r>
        <w:rPr>
          <w:noProof/>
        </w:rPr>
        <w:t>Υπουργείο Εσωτερικών Αποκέντρωσης και Ηλεκτρονικής Διακυβέρνησης (2010).</w:t>
      </w:r>
    </w:p>
  </w:footnote>
  <w:footnote w:id="16">
    <w:p w:rsidR="00E0754B" w:rsidRDefault="00E0754B">
      <w:pPr>
        <w:pStyle w:val="FootnoteText"/>
      </w:pPr>
      <w:r>
        <w:rPr>
          <w:rStyle w:val="FootnoteReference"/>
        </w:rPr>
        <w:footnoteRef/>
      </w:r>
      <w:r>
        <w:t xml:space="preserve"> Βλ. επόμενη ενότητα.</w:t>
      </w:r>
    </w:p>
  </w:footnote>
  <w:footnote w:id="17">
    <w:p w:rsidR="00E0754B" w:rsidRDefault="00E0754B" w:rsidP="00FE5ED2">
      <w:pPr>
        <w:pStyle w:val="FootnoteText"/>
      </w:pPr>
      <w:r>
        <w:rPr>
          <w:rStyle w:val="FootnoteReference"/>
        </w:rPr>
        <w:footnoteRef/>
      </w:r>
      <w:r>
        <w:t xml:space="preserve"> Σχετικά με μηχανισμούς εξευρωπαϊσμού βλ. μεταξύ άλλων: </w:t>
      </w:r>
      <w:r>
        <w:rPr>
          <w:lang w:val="en-US"/>
        </w:rPr>
        <w:t>Knill</w:t>
      </w:r>
      <w:r w:rsidRPr="00E63552">
        <w:t xml:space="preserve"> </w:t>
      </w:r>
      <w:r>
        <w:t xml:space="preserve">&amp; </w:t>
      </w:r>
      <w:r>
        <w:rPr>
          <w:lang w:val="en-US"/>
        </w:rPr>
        <w:t>Lehmkuhl</w:t>
      </w:r>
      <w:r w:rsidRPr="00E63552">
        <w:t xml:space="preserve"> </w:t>
      </w:r>
      <w:r w:rsidRPr="00E63552">
        <w:rPr>
          <w:noProof/>
        </w:rPr>
        <w:t>(2002</w:t>
      </w:r>
      <w:r>
        <w:rPr>
          <w:noProof/>
        </w:rPr>
        <w:t>)</w:t>
      </w:r>
      <w:r>
        <w:rPr>
          <w:noProof/>
        </w:rPr>
        <w:sym w:font="Wingdings" w:char="F09E"/>
      </w:r>
      <w:r w:rsidRPr="00FE5ED2">
        <w:t xml:space="preserve"> </w:t>
      </w:r>
      <w:r>
        <w:rPr>
          <w:noProof/>
        </w:rPr>
        <w:t xml:space="preserve">Schmidt </w:t>
      </w:r>
      <w:r w:rsidRPr="00FE5ED2">
        <w:rPr>
          <w:noProof/>
        </w:rPr>
        <w:t>(2002)</w:t>
      </w:r>
      <w:r>
        <w:rPr>
          <w:noProof/>
        </w:rPr>
        <w:t xml:space="preserve"> και τη συζήτηση των </w:t>
      </w:r>
      <w:r w:rsidRPr="00354566">
        <w:rPr>
          <w:noProof/>
          <w:lang w:val="en-US"/>
        </w:rPr>
        <w:t>Radaelli</w:t>
      </w:r>
      <w:r w:rsidRPr="00354566">
        <w:rPr>
          <w:noProof/>
        </w:rPr>
        <w:t xml:space="preserve"> &amp; </w:t>
      </w:r>
      <w:r w:rsidRPr="00354566">
        <w:rPr>
          <w:noProof/>
          <w:lang w:val="en-US"/>
        </w:rPr>
        <w:t>Exadaktylos</w:t>
      </w:r>
      <w:r>
        <w:rPr>
          <w:noProof/>
        </w:rPr>
        <w:t xml:space="preserve"> (2012)</w:t>
      </w:r>
      <w:r w:rsidRPr="00E63552">
        <w:t>.</w:t>
      </w:r>
    </w:p>
  </w:footnote>
  <w:footnote w:id="18">
    <w:p w:rsidR="00E0754B" w:rsidRDefault="00E0754B">
      <w:pPr>
        <w:pStyle w:val="FootnoteText"/>
      </w:pPr>
      <w:r>
        <w:rPr>
          <w:rStyle w:val="FootnoteReference"/>
        </w:rPr>
        <w:footnoteRef/>
      </w:r>
      <w:r w:rsidRPr="00EF32C0">
        <w:t xml:space="preserve"> </w:t>
      </w:r>
      <w:r>
        <w:rPr>
          <w:lang w:val="en-US"/>
        </w:rPr>
        <w:t>Knill</w:t>
      </w:r>
      <w:r w:rsidRPr="00EF32C0">
        <w:t xml:space="preserve"> &amp; </w:t>
      </w:r>
      <w:r>
        <w:rPr>
          <w:lang w:val="en-US"/>
        </w:rPr>
        <w:t>Lehmkuhl</w:t>
      </w:r>
      <w:r w:rsidRPr="00EF32C0">
        <w:t xml:space="preserve"> </w:t>
      </w:r>
      <w:r w:rsidRPr="00EF32C0">
        <w:rPr>
          <w:noProof/>
        </w:rPr>
        <w:t>(2002).</w:t>
      </w:r>
      <w:r>
        <w:rPr>
          <w:noProof/>
        </w:rPr>
        <w:t xml:space="preserve"> Η «αλλαγή εγχώριων δομών ευκαιριών» επιτρέπει την εμφάνιση νέων δρώντων σε διαδικασίες πολιτικής (</w:t>
      </w:r>
      <w:r>
        <w:rPr>
          <w:noProof/>
          <w:lang w:val="en-US"/>
        </w:rPr>
        <w:t>politics</w:t>
      </w:r>
      <w:r>
        <w:rPr>
          <w:noProof/>
        </w:rPr>
        <w:t>) αναδιατάσσοντας ρόλους των εμπλεκομένων.</w:t>
      </w:r>
    </w:p>
  </w:footnote>
  <w:footnote w:id="19">
    <w:p w:rsidR="00E0754B" w:rsidRDefault="00E0754B">
      <w:pPr>
        <w:pStyle w:val="FootnoteText"/>
      </w:pPr>
      <w:r>
        <w:rPr>
          <w:rStyle w:val="FootnoteReference"/>
        </w:rPr>
        <w:footnoteRef/>
      </w:r>
      <w:r>
        <w:t xml:space="preserve"> Νόμος 1622.1986 (ΦΕΚ 92</w:t>
      </w:r>
      <w:r w:rsidRPr="006B0212">
        <w:rPr>
          <w:vertAlign w:val="superscript"/>
        </w:rPr>
        <w:t>Α</w:t>
      </w:r>
      <w:r>
        <w:t>΄) και Π.Δ. 51.1987 (ΦΕΚ 26</w:t>
      </w:r>
      <w:r w:rsidRPr="006B0212">
        <w:rPr>
          <w:vertAlign w:val="superscript"/>
        </w:rPr>
        <w:t>Α</w:t>
      </w:r>
      <w:r>
        <w:t>΄ - καθορισμός χωρικής διάστασης).</w:t>
      </w:r>
    </w:p>
  </w:footnote>
  <w:footnote w:id="20">
    <w:p w:rsidR="00E0754B" w:rsidRDefault="00E0754B">
      <w:pPr>
        <w:pStyle w:val="FootnoteText"/>
      </w:pPr>
      <w:r>
        <w:rPr>
          <w:rStyle w:val="FootnoteReference"/>
        </w:rPr>
        <w:footnoteRef/>
      </w:r>
      <w:r>
        <w:t xml:space="preserve"> Κανονισμός </w:t>
      </w:r>
      <w:r w:rsidRPr="006B0212">
        <w:t>ΕΟΚ 2088.1985 του Συμβουλίου (ΕΕ L 197).</w:t>
      </w:r>
    </w:p>
  </w:footnote>
  <w:footnote w:id="21">
    <w:p w:rsidR="00E0754B" w:rsidRDefault="00E0754B">
      <w:pPr>
        <w:pStyle w:val="FootnoteText"/>
      </w:pPr>
      <w:r>
        <w:rPr>
          <w:rStyle w:val="FootnoteReference"/>
        </w:rPr>
        <w:footnoteRef/>
      </w:r>
      <w:r>
        <w:t xml:space="preserve"> Αν και από θέση περιορισμένης θεσμικής και διοικητικής ισχύος.</w:t>
      </w:r>
    </w:p>
  </w:footnote>
  <w:footnote w:id="22">
    <w:p w:rsidR="00E0754B" w:rsidRDefault="00E0754B">
      <w:pPr>
        <w:pStyle w:val="FootnoteText"/>
      </w:pPr>
      <w:r>
        <w:rPr>
          <w:rStyle w:val="FootnoteReference"/>
        </w:rPr>
        <w:footnoteRef/>
      </w:r>
      <w:r>
        <w:t xml:space="preserve"> Άρα, «αλλαγής εγχώριων δομών ευκαιριών».</w:t>
      </w:r>
    </w:p>
  </w:footnote>
  <w:footnote w:id="23">
    <w:p w:rsidR="00E0754B" w:rsidRDefault="00E0754B">
      <w:pPr>
        <w:pStyle w:val="FootnoteText"/>
      </w:pPr>
      <w:r>
        <w:rPr>
          <w:rStyle w:val="FootnoteReference"/>
        </w:rPr>
        <w:footnoteRef/>
      </w:r>
      <w:r>
        <w:t xml:space="preserve"> Ν. 1622.1986.</w:t>
      </w:r>
    </w:p>
  </w:footnote>
  <w:footnote w:id="24">
    <w:p w:rsidR="00E0754B" w:rsidRDefault="00E0754B">
      <w:pPr>
        <w:pStyle w:val="FootnoteText"/>
      </w:pPr>
      <w:r>
        <w:rPr>
          <w:rStyle w:val="FootnoteReference"/>
        </w:rPr>
        <w:footnoteRef/>
      </w:r>
      <w:r>
        <w:t xml:space="preserve"> Ν. 1900.1990 (ΦΕΚ 125</w:t>
      </w:r>
      <w:r w:rsidRPr="001C15A6">
        <w:rPr>
          <w:vertAlign w:val="superscript"/>
        </w:rPr>
        <w:t>Α</w:t>
      </w:r>
      <w:r>
        <w:t>΄).</w:t>
      </w:r>
    </w:p>
  </w:footnote>
  <w:footnote w:id="25">
    <w:p w:rsidR="00E0754B" w:rsidRDefault="00E0754B" w:rsidP="0002329F">
      <w:pPr>
        <w:pStyle w:val="FootnoteText"/>
      </w:pPr>
      <w:r>
        <w:rPr>
          <w:rStyle w:val="FootnoteReference"/>
        </w:rPr>
        <w:footnoteRef/>
      </w:r>
      <w:r>
        <w:t xml:space="preserve"> </w:t>
      </w:r>
      <w:r w:rsidRPr="00FC7F1F">
        <w:t>Συνθήκη για την</w:t>
      </w:r>
      <w:r>
        <w:t xml:space="preserve"> Ε.Ε. (Μάαστριχτ), άρθρο 198</w:t>
      </w:r>
      <w:r w:rsidRPr="005903B9">
        <w:rPr>
          <w:vertAlign w:val="superscript"/>
        </w:rPr>
        <w:t>Α</w:t>
      </w:r>
      <w:r>
        <w:t>.</w:t>
      </w:r>
    </w:p>
  </w:footnote>
  <w:footnote w:id="26">
    <w:p w:rsidR="00E0754B" w:rsidRDefault="00E0754B">
      <w:pPr>
        <w:pStyle w:val="FootnoteText"/>
      </w:pPr>
      <w:r>
        <w:rPr>
          <w:rStyle w:val="FootnoteReference"/>
        </w:rPr>
        <w:footnoteRef/>
      </w:r>
      <w:r>
        <w:t xml:space="preserve"> Σχετ. βλ.: Χλέπας (1994, σσ. 369-373).</w:t>
      </w:r>
    </w:p>
  </w:footnote>
  <w:footnote w:id="27">
    <w:p w:rsidR="00E0754B" w:rsidRDefault="00E0754B">
      <w:pPr>
        <w:pStyle w:val="FootnoteText"/>
      </w:pPr>
      <w:r>
        <w:rPr>
          <w:rStyle w:val="FootnoteReference"/>
        </w:rPr>
        <w:footnoteRef/>
      </w:r>
      <w:r>
        <w:t xml:space="preserve"> Στο ίδιο συμπέρασμα καταλήγει και ο Χλέπας (1994, σ. 381) υποστηρίζοντας τον «έξωθεν» εξαναγκασμό ώστε η ελληνική πολιτεία να «ανταποκριθεί τυπικά στην έμμεση επιταγή της Συνθήκης».</w:t>
      </w:r>
    </w:p>
  </w:footnote>
  <w:footnote w:id="28">
    <w:p w:rsidR="00E0754B" w:rsidRDefault="00E0754B">
      <w:pPr>
        <w:pStyle w:val="FootnoteText"/>
      </w:pPr>
      <w:r>
        <w:rPr>
          <w:rStyle w:val="FootnoteReference"/>
        </w:rPr>
        <w:footnoteRef/>
      </w:r>
      <w:r w:rsidRPr="00A45195">
        <w:rPr>
          <w:lang w:val="en-US"/>
        </w:rPr>
        <w:t xml:space="preserve"> </w:t>
      </w:r>
      <w:r>
        <w:t>Ν</w:t>
      </w:r>
      <w:r w:rsidRPr="00A45195">
        <w:rPr>
          <w:lang w:val="en-US"/>
        </w:rPr>
        <w:t>. 2372.1996 (</w:t>
      </w:r>
      <w:r>
        <w:t>ΦΕΚ</w:t>
      </w:r>
      <w:r w:rsidRPr="00A45195">
        <w:rPr>
          <w:lang w:val="en-US"/>
        </w:rPr>
        <w:t xml:space="preserve"> 29</w:t>
      </w:r>
      <w:r w:rsidRPr="00E00E56">
        <w:rPr>
          <w:vertAlign w:val="superscript"/>
        </w:rPr>
        <w:t>Α</w:t>
      </w:r>
      <w:r>
        <w:t>΄</w:t>
      </w:r>
      <w:r w:rsidRPr="00A45195">
        <w:rPr>
          <w:lang w:val="en-US"/>
        </w:rPr>
        <w:t>).</w:t>
      </w:r>
    </w:p>
  </w:footnote>
  <w:footnote w:id="29">
    <w:p w:rsidR="00E0754B" w:rsidRDefault="00E0754B">
      <w:pPr>
        <w:pStyle w:val="FootnoteText"/>
      </w:pPr>
      <w:r>
        <w:rPr>
          <w:rStyle w:val="FootnoteReference"/>
        </w:rPr>
        <w:footnoteRef/>
      </w:r>
      <w:r w:rsidRPr="00A64986">
        <w:rPr>
          <w:lang w:val="en-US"/>
        </w:rPr>
        <w:t xml:space="preserve"> </w:t>
      </w:r>
      <w:r>
        <w:rPr>
          <w:lang w:val="en-US"/>
        </w:rPr>
        <w:t>“</w:t>
      </w:r>
      <w:r>
        <w:rPr>
          <w:noProof/>
          <w:lang w:val="en-US"/>
        </w:rPr>
        <w:t>Policy</w:t>
      </w:r>
      <w:r w:rsidRPr="00A64986">
        <w:rPr>
          <w:noProof/>
          <w:lang w:val="en-US"/>
        </w:rPr>
        <w:t xml:space="preserve"> </w:t>
      </w:r>
      <w:r>
        <w:rPr>
          <w:noProof/>
          <w:lang w:val="en-US"/>
        </w:rPr>
        <w:t>transfer”</w:t>
      </w:r>
      <w:r>
        <w:rPr>
          <w:noProof/>
        </w:rPr>
        <w:sym w:font="Wingdings" w:char="F09E"/>
      </w:r>
      <w:r w:rsidRPr="00A64986">
        <w:rPr>
          <w:noProof/>
          <w:lang w:val="en-US"/>
        </w:rPr>
        <w:t xml:space="preserve"> </w:t>
      </w:r>
      <w:r>
        <w:rPr>
          <w:noProof/>
        </w:rPr>
        <w:t>σχετ</w:t>
      </w:r>
      <w:r w:rsidRPr="000F3A6D">
        <w:rPr>
          <w:noProof/>
          <w:lang w:val="en-US"/>
        </w:rPr>
        <w:t xml:space="preserve">.: </w:t>
      </w:r>
      <w:r>
        <w:rPr>
          <w:noProof/>
          <w:lang w:val="en-US"/>
        </w:rPr>
        <w:t>Dolowitz</w:t>
      </w:r>
      <w:r w:rsidRPr="00A64986">
        <w:rPr>
          <w:noProof/>
          <w:lang w:val="en-US"/>
        </w:rPr>
        <w:t xml:space="preserve"> &amp; </w:t>
      </w:r>
      <w:r>
        <w:rPr>
          <w:noProof/>
          <w:lang w:val="en-US"/>
        </w:rPr>
        <w:t>Marsh</w:t>
      </w:r>
      <w:r w:rsidRPr="00A64986">
        <w:rPr>
          <w:noProof/>
          <w:lang w:val="en-US"/>
        </w:rPr>
        <w:t xml:space="preserve"> </w:t>
      </w:r>
      <w:r w:rsidRPr="00423A88">
        <w:rPr>
          <w:noProof/>
          <w:lang w:val="en-US"/>
        </w:rPr>
        <w:t>(</w:t>
      </w:r>
      <w:r w:rsidRPr="00A64986">
        <w:rPr>
          <w:noProof/>
          <w:lang w:val="en-US"/>
        </w:rPr>
        <w:t>1996</w:t>
      </w:r>
      <w:r w:rsidRPr="00423A88">
        <w:rPr>
          <w:noProof/>
          <w:lang w:val="en-US"/>
        </w:rPr>
        <w:t>).</w:t>
      </w:r>
    </w:p>
  </w:footnote>
  <w:footnote w:id="30">
    <w:p w:rsidR="00E0754B" w:rsidRDefault="00E0754B">
      <w:pPr>
        <w:pStyle w:val="FootnoteText"/>
      </w:pPr>
      <w:r>
        <w:rPr>
          <w:rStyle w:val="FootnoteReference"/>
        </w:rPr>
        <w:footnoteRef/>
      </w:r>
      <w:r w:rsidRPr="00A45195">
        <w:t xml:space="preserve"> </w:t>
      </w:r>
      <w:r>
        <w:t>Ν</w:t>
      </w:r>
      <w:r w:rsidRPr="00A45195">
        <w:t>. 2880.2001 (</w:t>
      </w:r>
      <w:r>
        <w:t>ΦΕΚ</w:t>
      </w:r>
      <w:r w:rsidRPr="00A45195">
        <w:t xml:space="preserve"> 9</w:t>
      </w:r>
      <w:r w:rsidRPr="00C4659C">
        <w:rPr>
          <w:vertAlign w:val="superscript"/>
        </w:rPr>
        <w:t>Α</w:t>
      </w:r>
      <w:r>
        <w:t>΄</w:t>
      </w:r>
      <w:r w:rsidRPr="00A45195">
        <w:t>).</w:t>
      </w:r>
    </w:p>
  </w:footnote>
  <w:footnote w:id="31">
    <w:p w:rsidR="00E0754B" w:rsidRDefault="00E0754B" w:rsidP="00EB110C">
      <w:pPr>
        <w:pStyle w:val="FootnoteText"/>
      </w:pPr>
      <w:r>
        <w:rPr>
          <w:rStyle w:val="FootnoteReference"/>
        </w:rPr>
        <w:footnoteRef/>
      </w:r>
      <w:r w:rsidRPr="00A45195">
        <w:t xml:space="preserve"> </w:t>
      </w:r>
      <w:r>
        <w:t>Εισηγητική</w:t>
      </w:r>
      <w:r w:rsidRPr="00A45195">
        <w:t xml:space="preserve"> </w:t>
      </w:r>
      <w:r>
        <w:t>Έκθεση</w:t>
      </w:r>
      <w:r w:rsidRPr="00A45195">
        <w:t xml:space="preserve"> </w:t>
      </w:r>
      <w:r>
        <w:t>ν</w:t>
      </w:r>
      <w:r w:rsidRPr="00A45195">
        <w:t>. 2880.2001.</w:t>
      </w:r>
    </w:p>
  </w:footnote>
  <w:footnote w:id="32">
    <w:p w:rsidR="00E0754B" w:rsidRDefault="00E0754B">
      <w:pPr>
        <w:pStyle w:val="FootnoteText"/>
      </w:pPr>
      <w:r>
        <w:rPr>
          <w:rStyle w:val="FootnoteReference"/>
        </w:rPr>
        <w:footnoteRef/>
      </w:r>
      <w:r w:rsidRPr="00264BFC">
        <w:t xml:space="preserve"> </w:t>
      </w:r>
      <w:r>
        <w:t>Ν</w:t>
      </w:r>
      <w:r w:rsidRPr="00264BFC">
        <w:t>. 2539.1997 (</w:t>
      </w:r>
      <w:r>
        <w:t>ΦΕΚ</w:t>
      </w:r>
      <w:r w:rsidRPr="00264BFC">
        <w:t xml:space="preserve"> 244</w:t>
      </w:r>
      <w:r w:rsidRPr="00A64986">
        <w:rPr>
          <w:vertAlign w:val="superscript"/>
        </w:rPr>
        <w:t>Α</w:t>
      </w:r>
      <w:r>
        <w:t>΄</w:t>
      </w:r>
      <w:r w:rsidRPr="00264BFC">
        <w:t>).</w:t>
      </w:r>
    </w:p>
  </w:footnote>
  <w:footnote w:id="33">
    <w:p w:rsidR="00E0754B" w:rsidRDefault="00E0754B" w:rsidP="00A64986">
      <w:pPr>
        <w:pStyle w:val="FootnoteText"/>
        <w:tabs>
          <w:tab w:val="left" w:pos="1843"/>
        </w:tabs>
      </w:pPr>
      <w:r>
        <w:rPr>
          <w:rStyle w:val="FootnoteReference"/>
        </w:rPr>
        <w:footnoteRef/>
      </w:r>
      <w:r w:rsidRPr="00264BFC">
        <w:t xml:space="preserve"> </w:t>
      </w:r>
      <w:r>
        <w:t>Ν</w:t>
      </w:r>
      <w:r w:rsidRPr="00264BFC">
        <w:t>. 3274.2004 (</w:t>
      </w:r>
      <w:r>
        <w:t>ΦΕΚ</w:t>
      </w:r>
      <w:r w:rsidRPr="00264BFC">
        <w:t xml:space="preserve"> 195</w:t>
      </w:r>
      <w:r w:rsidRPr="00A64986">
        <w:rPr>
          <w:vertAlign w:val="superscript"/>
        </w:rPr>
        <w:t>Α</w:t>
      </w:r>
      <w:r>
        <w:t>΄</w:t>
      </w:r>
      <w:r w:rsidRPr="00264BFC">
        <w:t>).</w:t>
      </w:r>
    </w:p>
  </w:footnote>
  <w:footnote w:id="34">
    <w:p w:rsidR="00E0754B" w:rsidRDefault="00E0754B">
      <w:pPr>
        <w:pStyle w:val="FootnoteText"/>
      </w:pPr>
      <w:r>
        <w:rPr>
          <w:rStyle w:val="FootnoteReference"/>
        </w:rPr>
        <w:footnoteRef/>
      </w:r>
      <w:r>
        <w:t xml:space="preserve"> </w:t>
      </w:r>
      <w:r>
        <w:rPr>
          <w:lang w:val="en-US"/>
        </w:rPr>
        <w:t>Knill</w:t>
      </w:r>
      <w:r w:rsidRPr="00EF32C0">
        <w:t xml:space="preserve"> &amp; </w:t>
      </w:r>
      <w:r>
        <w:rPr>
          <w:lang w:val="en-US"/>
        </w:rPr>
        <w:t>Lehmkuhl</w:t>
      </w:r>
      <w:r w:rsidRPr="00EF32C0">
        <w:t xml:space="preserve"> </w:t>
      </w:r>
      <w:r w:rsidRPr="00EF32C0">
        <w:rPr>
          <w:noProof/>
        </w:rPr>
        <w:t>(2002)</w:t>
      </w:r>
      <w:r>
        <w:rPr>
          <w:noProof/>
        </w:rPr>
        <w:t>. Η «πλαισίωση εγχώριων πεποιθήσεων και προσδοκιών» επιτρέπει την ανάδειξη και προώθηση ιδεών και απόψεων συμβάλλοντας στην (ανα)διαμόρφωση δημόσιων πολιτικών.</w:t>
      </w:r>
    </w:p>
  </w:footnote>
  <w:footnote w:id="35">
    <w:p w:rsidR="00E0754B" w:rsidRDefault="00E0754B" w:rsidP="00423A88">
      <w:pPr>
        <w:pStyle w:val="FootnoteText"/>
      </w:pPr>
      <w:r>
        <w:rPr>
          <w:rStyle w:val="FootnoteReference"/>
        </w:rPr>
        <w:footnoteRef/>
      </w:r>
      <w:r>
        <w:t xml:space="preserve"> Η Κεντρική Ένωση Δήμων Ελλάδας υποστήριζε τη διαδικασία σύγκλισης μέσω της</w:t>
      </w:r>
      <w:r w:rsidRPr="00C868C5">
        <w:t xml:space="preserve"> επιτάχυνση</w:t>
      </w:r>
      <w:r>
        <w:t>ς</w:t>
      </w:r>
      <w:r w:rsidRPr="00C868C5">
        <w:t xml:space="preserve"> </w:t>
      </w:r>
      <w:r>
        <w:t>«</w:t>
      </w:r>
      <w:r w:rsidRPr="00C868C5">
        <w:t>των αναγκαίων θεσμικών αλλαγών</w:t>
      </w:r>
      <w:r>
        <w:t>» λαμβάνοντας υπ’ όψιν τα δεδομένα και τις εξελίξεις στον ευρωπαϊκό χώρο, προβάλλοντας τη θέση της για «</w:t>
      </w:r>
      <w:r w:rsidRPr="00C868C5">
        <w:t>αιρετή περιφερειακή αυτοδιοίκηση</w:t>
      </w:r>
      <w:r>
        <w:t>»  από τις αρχές της δεκαετίας του 2000 (ΚΕΔΚΕ, 2001).</w:t>
      </w:r>
    </w:p>
  </w:footnote>
  <w:footnote w:id="36">
    <w:p w:rsidR="00E0754B" w:rsidRDefault="00E0754B" w:rsidP="00E72AEB">
      <w:pPr>
        <w:pStyle w:val="FootnoteText"/>
      </w:pPr>
      <w:r>
        <w:rPr>
          <w:rStyle w:val="FootnoteReference"/>
        </w:rPr>
        <w:footnoteRef/>
      </w:r>
      <w:r>
        <w:t xml:space="preserve"> Το υπόδειγμα της πολυεπίπεδης διακυβέρνησης επισημαίνει την απώλεια πλήρους ελέγχου των εθνικών κυβερνήσεων σε διαδικασίες πολιτικής λόγω της εμπλοκής και άλλων δρώντων, τη διαμοίραση (</w:t>
      </w:r>
      <w:r>
        <w:rPr>
          <w:lang w:val="en-US"/>
        </w:rPr>
        <w:t>sharing</w:t>
      </w:r>
      <w:r>
        <w:t>) αρμοδιοτήτων και τη διασύνδεση των πολιτικών αρένων. Ε</w:t>
      </w:r>
      <w:r>
        <w:rPr>
          <w:noProof/>
        </w:rPr>
        <w:t>νδεικτικά, βλ.</w:t>
      </w:r>
      <w:r>
        <w:rPr>
          <w:rFonts w:ascii="Symbol" w:hAnsi="Symbol"/>
          <w:noProof/>
        </w:rPr>
        <w:t></w:t>
      </w:r>
      <w:r>
        <w:rPr>
          <w:noProof/>
        </w:rPr>
        <w:t xml:space="preserve"> </w:t>
      </w:r>
      <w:r>
        <w:rPr>
          <w:noProof/>
          <w:lang w:val="en-US"/>
        </w:rPr>
        <w:t>Hooghe</w:t>
      </w:r>
      <w:r w:rsidRPr="00B47FE1">
        <w:rPr>
          <w:noProof/>
        </w:rPr>
        <w:t xml:space="preserve"> &amp; </w:t>
      </w:r>
      <w:r w:rsidRPr="000D6C53">
        <w:rPr>
          <w:noProof/>
          <w:lang w:val="en-US"/>
        </w:rPr>
        <w:t>Marks</w:t>
      </w:r>
      <w:r w:rsidRPr="000D6C53">
        <w:rPr>
          <w:noProof/>
        </w:rPr>
        <w:t xml:space="preserve"> (2001)</w:t>
      </w:r>
      <w:r w:rsidRPr="000D6C53">
        <w:rPr>
          <w:noProof/>
          <w:lang w:val="en-US"/>
        </w:rPr>
        <w:sym w:font="Wingdings" w:char="F09E"/>
      </w:r>
      <w:r w:rsidRPr="000D6C53">
        <w:rPr>
          <w:noProof/>
        </w:rPr>
        <w:t xml:space="preserve"> </w:t>
      </w:r>
      <w:r w:rsidRPr="000D6C53">
        <w:rPr>
          <w:noProof/>
          <w:lang w:val="en-US"/>
        </w:rPr>
        <w:t>Piattoni</w:t>
      </w:r>
      <w:r w:rsidRPr="000D6C53">
        <w:rPr>
          <w:noProof/>
        </w:rPr>
        <w:t xml:space="preserve"> (2010).</w:t>
      </w:r>
      <w:r w:rsidRPr="000D6C53">
        <w:t xml:space="preserve"> Για μια ειδικότερη συζήτηση</w:t>
      </w:r>
      <w:r>
        <w:t xml:space="preserve"> του όρου βλ.:</w:t>
      </w:r>
      <w:r w:rsidRPr="00B35059">
        <w:rPr>
          <w:noProof/>
        </w:rPr>
        <w:t xml:space="preserve"> </w:t>
      </w:r>
      <w:r w:rsidRPr="00A41F3E">
        <w:rPr>
          <w:noProof/>
          <w:lang w:val="en-US"/>
        </w:rPr>
        <w:t>Pagoulatos</w:t>
      </w:r>
      <w:r w:rsidRPr="00B35059">
        <w:rPr>
          <w:noProof/>
        </w:rPr>
        <w:t xml:space="preserve"> &amp; </w:t>
      </w:r>
      <w:r w:rsidRPr="00A41F3E">
        <w:rPr>
          <w:noProof/>
          <w:lang w:val="en-US"/>
        </w:rPr>
        <w:t>Tsoukalis</w:t>
      </w:r>
      <w:r>
        <w:rPr>
          <w:noProof/>
        </w:rPr>
        <w:t xml:space="preserve"> (</w:t>
      </w:r>
      <w:r w:rsidRPr="00B35059">
        <w:rPr>
          <w:noProof/>
        </w:rPr>
        <w:t>2012</w:t>
      </w:r>
      <w:r>
        <w:rPr>
          <w:noProof/>
        </w:rPr>
        <w:t>)</w:t>
      </w:r>
      <w:r>
        <w:t>.</w:t>
      </w:r>
    </w:p>
  </w:footnote>
  <w:footnote w:id="37">
    <w:p w:rsidR="00E0754B" w:rsidRDefault="00E0754B" w:rsidP="004D27AF">
      <w:pPr>
        <w:pStyle w:val="FootnoteText"/>
      </w:pPr>
      <w:r>
        <w:rPr>
          <w:rStyle w:val="FootnoteReference"/>
        </w:rPr>
        <w:footnoteRef/>
      </w:r>
      <w:r>
        <w:t xml:space="preserve"> Δηλαδή χωρίς υποχρέωση επιστροφής, στο πλαίσιο της τήρησης της νομιμότητας της διαχείρισης.</w:t>
      </w:r>
    </w:p>
  </w:footnote>
  <w:footnote w:id="38">
    <w:p w:rsidR="00E0754B" w:rsidRDefault="00E0754B" w:rsidP="00E737D3">
      <w:pPr>
        <w:pStyle w:val="FootnoteText"/>
      </w:pPr>
      <w:r>
        <w:rPr>
          <w:rStyle w:val="FootnoteReference"/>
        </w:rPr>
        <w:footnoteRef/>
      </w:r>
      <w:r>
        <w:t xml:space="preserve"> Βλ. σχετ. προηγούμενη ενότητα.</w:t>
      </w:r>
    </w:p>
  </w:footnote>
  <w:footnote w:id="39">
    <w:p w:rsidR="00E0754B" w:rsidRDefault="00E0754B" w:rsidP="004D27AF">
      <w:pPr>
        <w:pStyle w:val="FootnoteText"/>
      </w:pPr>
      <w:r>
        <w:rPr>
          <w:rStyle w:val="FootnoteReference"/>
        </w:rPr>
        <w:footnoteRef/>
      </w:r>
      <w:r>
        <w:t xml:space="preserve"> Συχνά, η εγχώρια κριτική περί διοικητικής υστέρησης εστίαζε στο βαθμό απορρόφησης των πόρων της Ε.Ε. Ο</w:t>
      </w:r>
      <w:r w:rsidRPr="00711B1A">
        <w:t xml:space="preserve">ι αυτοδιοικητικές αρχές </w:t>
      </w:r>
      <w:r>
        <w:t>(κυρίως οι δήμοι) ανταποκρίθηκαν εμφανίζοντας</w:t>
      </w:r>
      <w:r w:rsidRPr="00711B1A">
        <w:t xml:space="preserve"> ιδιαίτερο ζήλο στη θέσπιση νομικών προσώπων </w:t>
      </w:r>
      <w:r>
        <w:t xml:space="preserve">αναπτυξιακού χαρακτήρα για </w:t>
      </w:r>
      <w:r w:rsidRPr="00711B1A">
        <w:t xml:space="preserve">να επωφεληθούν από </w:t>
      </w:r>
      <w:r>
        <w:t xml:space="preserve">τις </w:t>
      </w:r>
      <w:r w:rsidRPr="00711B1A">
        <w:t xml:space="preserve">χρηματοδοτικές ευκαιρίες </w:t>
      </w:r>
      <w:r>
        <w:t>της Ε.Ε. [σχετικά με τη «χρηματοδοτικού τύπου» κινητοποίηση των ελληνικών υποεθνικών θεσμών διακυβέρνησης απευθείας στην Ε</w:t>
      </w:r>
      <w:r w:rsidRPr="000D6C53">
        <w:t xml:space="preserve">.Ε. βλ.: </w:t>
      </w:r>
      <w:r w:rsidRPr="000D6C53">
        <w:rPr>
          <w:lang w:val="en-US"/>
        </w:rPr>
        <w:t>Oikonomou</w:t>
      </w:r>
      <w:r>
        <w:t xml:space="preserve"> (</w:t>
      </w:r>
      <w:r w:rsidRPr="000D6C53">
        <w:t>2016)</w:t>
      </w:r>
      <w:r>
        <w:t>]. Είναι χαρακτηριστικό ότι το 1989 καταγράφονται 232 δημοτικές επιχειρήσεις ενώ το 2005 ανέρχονταν περίπου σε 1.800 (Χλέπας, 1999, σ. 329</w:t>
      </w:r>
      <w:r>
        <w:sym w:font="Wingdings" w:char="F09E"/>
      </w:r>
      <w:r>
        <w:t xml:space="preserve"> Καρυπίδου 2007, σ. 102). Παράλληλα, έως το 1990 είχαν συσταθεί και δυο ανώνυμες εταιρείες για την αυτοδιοίκηση σε κεντρικό επίπεδο (ΕΕΤΑΑ ΑΕ &amp; ΠΕΤΑ ΑΕ). Η σύσταση των εν λόγω δομών συνδέεται ευθέως με το μοντέλο της πολυεπίπεδης διακυβέρνησης τύπου ΙΙ (συναφώς βλ. και: </w:t>
      </w:r>
      <w:r>
        <w:rPr>
          <w:lang w:val="en-US"/>
        </w:rPr>
        <w:t>Andreou</w:t>
      </w:r>
      <w:r w:rsidRPr="00B80CF2">
        <w:t>, 2010</w:t>
      </w:r>
      <w:r>
        <w:t xml:space="preserve">). Σχετικά με τους τύπους πολυεπίπεδης διακυβέρνησης βλ.: </w:t>
      </w:r>
      <w:r>
        <w:rPr>
          <w:lang w:val="en-US"/>
        </w:rPr>
        <w:t>Hooghe</w:t>
      </w:r>
      <w:r w:rsidRPr="00B80CF2">
        <w:t xml:space="preserve"> &amp; </w:t>
      </w:r>
      <w:r>
        <w:rPr>
          <w:lang w:val="en-US"/>
        </w:rPr>
        <w:t>Marks</w:t>
      </w:r>
      <w:r w:rsidRPr="00B80CF2">
        <w:t xml:space="preserve"> (2003)</w:t>
      </w:r>
      <w:r>
        <w:rPr>
          <w:lang w:val="en-US"/>
        </w:rPr>
        <w:t>.</w:t>
      </w:r>
    </w:p>
  </w:footnote>
  <w:footnote w:id="40">
    <w:p w:rsidR="00E0754B" w:rsidRDefault="00E0754B">
      <w:pPr>
        <w:pStyle w:val="FootnoteText"/>
      </w:pPr>
      <w:r>
        <w:rPr>
          <w:rStyle w:val="FootnoteReference"/>
        </w:rPr>
        <w:footnoteRef/>
      </w:r>
      <w:r>
        <w:t xml:space="preserve"> Δηλαδή αξιοποίησης των ανθρώπινων και υλικών πόρων τους και ορθής κατανομής αυτών.</w:t>
      </w:r>
    </w:p>
  </w:footnote>
  <w:footnote w:id="41">
    <w:p w:rsidR="00E0754B" w:rsidRDefault="00E0754B" w:rsidP="009E417A">
      <w:pPr>
        <w:pStyle w:val="FootnoteText"/>
      </w:pPr>
      <w:r>
        <w:rPr>
          <w:rStyle w:val="FootnoteReference"/>
        </w:rPr>
        <w:footnoteRef/>
      </w:r>
      <w:r>
        <w:t xml:space="preserve"> Τα τρία συνολικά Μνημόνια Χρηματοοικονομικής Συνεργασίας αφορούν κατά σειρά τις περιόδους: 2010-2012, 2012-2014 και 2015-2018.</w:t>
      </w:r>
    </w:p>
  </w:footnote>
  <w:footnote w:id="42">
    <w:p w:rsidR="00E0754B" w:rsidRDefault="00E0754B" w:rsidP="009E417A">
      <w:pPr>
        <w:pStyle w:val="FootnoteText"/>
      </w:pPr>
      <w:r>
        <w:rPr>
          <w:rStyle w:val="FootnoteReference"/>
        </w:rPr>
        <w:footnoteRef/>
      </w:r>
      <w:r>
        <w:t xml:space="preserve"> Η Ε.Ε. συμμετείχε στην «τρόικα» των δανειστών μέσω της Ευρωπαϊκής Επιτροπής και της Ευρωπαϊκής Κεντρικής Τράπεζας με τρίτο μέλος το Διεθνές Νομισματικό Ταμείο (ΔΝΤ). Το 2015 προστέθηκε και το Ευρωπαϊκό Κοινοβούλιο.</w:t>
      </w:r>
    </w:p>
  </w:footnote>
  <w:footnote w:id="43">
    <w:p w:rsidR="00E0754B" w:rsidRDefault="00E0754B" w:rsidP="00275B51">
      <w:pPr>
        <w:pStyle w:val="FootnoteText"/>
      </w:pPr>
      <w:r>
        <w:rPr>
          <w:rStyle w:val="FootnoteReference"/>
        </w:rPr>
        <w:footnoteRef/>
      </w:r>
      <w:r>
        <w:t xml:space="preserve"> Βλ. Ομάδα Δράσης για την Ελλάδα (</w:t>
      </w:r>
      <w:r>
        <w:rPr>
          <w:lang w:val="en-US"/>
        </w:rPr>
        <w:t>Task</w:t>
      </w:r>
      <w:r w:rsidRPr="0046468B">
        <w:t xml:space="preserve"> </w:t>
      </w:r>
      <w:r>
        <w:rPr>
          <w:lang w:val="en-US"/>
        </w:rPr>
        <w:t>Force</w:t>
      </w:r>
      <w:r w:rsidRPr="0046468B">
        <w:t xml:space="preserve"> </w:t>
      </w:r>
      <w:r>
        <w:rPr>
          <w:lang w:val="en-US"/>
        </w:rPr>
        <w:t>for</w:t>
      </w:r>
      <w:r w:rsidRPr="0046468B">
        <w:t xml:space="preserve"> </w:t>
      </w:r>
      <w:r>
        <w:rPr>
          <w:lang w:val="en-US"/>
        </w:rPr>
        <w:t>Greece</w:t>
      </w:r>
      <w:r>
        <w:t xml:space="preserve">) στη συγκρότηση της οποίας συμμετείχαν στελέχη της Ευρωπαϊκής Επιτροπής. Ειδικότερα, για τις αλλαγές στην κεντρική διοίκηση και στην αυτοδιοίκηση συνέδραμαν </w:t>
      </w:r>
      <w:r w:rsidRPr="000D6C53">
        <w:t>Γάλλοι και Γερμανοί εμπειρογνώμονες αντίστοιχα.</w:t>
      </w:r>
    </w:p>
  </w:footnote>
  <w:footnote w:id="44">
    <w:p w:rsidR="00E0754B" w:rsidRDefault="00E0754B">
      <w:pPr>
        <w:pStyle w:val="FootnoteText"/>
      </w:pPr>
      <w:r w:rsidRPr="000D6C53">
        <w:rPr>
          <w:rStyle w:val="FootnoteReference"/>
        </w:rPr>
        <w:footnoteRef/>
      </w:r>
      <w:r w:rsidRPr="000D6C53">
        <w:t xml:space="preserve"> Από το σύνολο των εταίρων-δανειστών, το ΔΝΤ εμφανιζόταν να ασκεί την υψηλότερη πίεση για συρρίκνωση των μεγεθών της δημόσιας διοίκησης (και του κράτους συνολικά).</w:t>
      </w:r>
    </w:p>
  </w:footnote>
  <w:footnote w:id="45">
    <w:p w:rsidR="00E0754B" w:rsidRDefault="00E0754B" w:rsidP="00AE4560">
      <w:pPr>
        <w:pStyle w:val="FootnoteText"/>
      </w:pPr>
      <w:r w:rsidRPr="000D6C53">
        <w:rPr>
          <w:rStyle w:val="FootnoteReference"/>
        </w:rPr>
        <w:footnoteRef/>
      </w:r>
      <w:r w:rsidRPr="000D6C53">
        <w:t xml:space="preserve"> Για μια επισκόπηση των μέτρων βλ.: Λαμπροπούλου &amp; Οικονόμου (2016). Ειδικότερα μέτρα εστίασαν στην κεντρική διοίκηση (π.χ. νέοι οργανισμοί), στην αποσυγκεντρωμένη</w:t>
      </w:r>
      <w:r>
        <w:t xml:space="preserve"> διοίκηση και στην αυτοδιοίκηση (καταργήσεις υπηρεσιών, κινητικότητα).</w:t>
      </w:r>
    </w:p>
  </w:footnote>
  <w:footnote w:id="46">
    <w:p w:rsidR="00E0754B" w:rsidRDefault="00E0754B" w:rsidP="00693080">
      <w:pPr>
        <w:pStyle w:val="FootnoteText"/>
      </w:pPr>
      <w:r>
        <w:rPr>
          <w:rStyle w:val="FootnoteReference"/>
        </w:rPr>
        <w:footnoteRef/>
      </w:r>
      <w:r>
        <w:t xml:space="preserve"> Π.χ. </w:t>
      </w:r>
      <w:r w:rsidRPr="00275B51">
        <w:t>Γενική Γραμματεία Δημοσίων</w:t>
      </w:r>
      <w:r>
        <w:t xml:space="preserve"> Εσόδων, μετέπειτα Ανεξάρτητη Αρχή Δημοσίων Εσόδων.</w:t>
      </w:r>
    </w:p>
  </w:footnote>
  <w:footnote w:id="47">
    <w:p w:rsidR="00E0754B" w:rsidRDefault="00E0754B">
      <w:pPr>
        <w:pStyle w:val="FootnoteText"/>
      </w:pPr>
      <w:r>
        <w:rPr>
          <w:rStyle w:val="FootnoteReference"/>
        </w:rPr>
        <w:footnoteRef/>
      </w:r>
      <w:r>
        <w:t xml:space="preserve"> Ν. 2190.1994.</w:t>
      </w:r>
    </w:p>
  </w:footnote>
  <w:footnote w:id="48">
    <w:p w:rsidR="00E0754B" w:rsidRDefault="00E0754B">
      <w:pPr>
        <w:pStyle w:val="FootnoteText"/>
      </w:pPr>
      <w:r>
        <w:rPr>
          <w:rStyle w:val="FootnoteReference"/>
        </w:rPr>
        <w:footnoteRef/>
      </w:r>
      <w:r>
        <w:t xml:space="preserve"> Πρακτική αποτέλεσε η σύναψη συμβάσεων ορισμένου χρόνου ή έργου (άρα κατοχύρωση και εμπειρίας) ιδίως σε νομικά πρόσωπα της Γενικής Κυβέρνησης και η μεταγενέστερη μετατροπή τους σε αορίστου χρόνου (ή και μόνιμης θέσης)</w:t>
      </w:r>
      <w:r>
        <w:sym w:font="Wingdings" w:char="F09E"/>
      </w:r>
      <w:r>
        <w:t xml:space="preserve"> σχετ. βλ.: Συνήγορος του Πολίτη</w:t>
      </w:r>
      <w:r w:rsidRPr="00AA0295">
        <w:t xml:space="preserve"> (2006</w:t>
      </w:r>
      <w:r>
        <w:t>)</w:t>
      </w:r>
      <w:r>
        <w:sym w:font="Wingdings" w:char="F09E"/>
      </w:r>
      <w:r>
        <w:t xml:space="preserve"> Σπανού </w:t>
      </w:r>
      <w:r w:rsidRPr="00AA0295">
        <w:t>(2011)</w:t>
      </w:r>
      <w:r>
        <w:t>. Ενδεικτικά, επιμέρους νομικά πρόσωπα και κορυφαίοι πολιτειακοί θεσμοί εντάχθηκαν πλήρως υπό τον έλεγχο του ΑΣΕΠ το 2009 (σχετ.: ν</w:t>
      </w:r>
      <w:r w:rsidRPr="00A45195">
        <w:t xml:space="preserve">. 3812.2009, </w:t>
      </w:r>
      <w:r>
        <w:t>ΦΕΚ</w:t>
      </w:r>
      <w:r w:rsidRPr="00A45195">
        <w:t xml:space="preserve"> 234</w:t>
      </w:r>
      <w:r w:rsidRPr="00D34571">
        <w:rPr>
          <w:vertAlign w:val="superscript"/>
        </w:rPr>
        <w:t>Α</w:t>
      </w:r>
      <w:r>
        <w:t>΄).</w:t>
      </w:r>
    </w:p>
  </w:footnote>
  <w:footnote w:id="49">
    <w:p w:rsidR="00E0754B" w:rsidRDefault="00E0754B">
      <w:pPr>
        <w:pStyle w:val="FootnoteText"/>
      </w:pPr>
      <w:r>
        <w:rPr>
          <w:rStyle w:val="FootnoteReference"/>
        </w:rPr>
        <w:footnoteRef/>
      </w:r>
      <w:r>
        <w:t xml:space="preserve"> Για μια αποτίμησή του, σε συνδυασμό με την ανάδυση νεότερων θεωρητικών υποδειγμάτων βλ.:</w:t>
      </w:r>
      <w:r w:rsidRPr="000018DA">
        <w:t xml:space="preserve"> </w:t>
      </w:r>
      <w:r>
        <w:rPr>
          <w:lang w:val="en-US"/>
        </w:rPr>
        <w:t>Lampropoulou</w:t>
      </w:r>
      <w:r w:rsidRPr="000018DA">
        <w:t xml:space="preserve"> &amp; </w:t>
      </w:r>
      <w:r>
        <w:rPr>
          <w:lang w:val="en-US"/>
        </w:rPr>
        <w:t>Oikonomou</w:t>
      </w:r>
      <w:r w:rsidRPr="000018DA">
        <w:t xml:space="preserve"> (2016).</w:t>
      </w:r>
    </w:p>
  </w:footnote>
  <w:footnote w:id="50">
    <w:p w:rsidR="00E0754B" w:rsidRDefault="00E0754B">
      <w:pPr>
        <w:pStyle w:val="FootnoteText"/>
      </w:pPr>
      <w:r>
        <w:rPr>
          <w:rStyle w:val="FootnoteReference"/>
        </w:rPr>
        <w:footnoteRef/>
      </w:r>
      <w:r>
        <w:t xml:space="preserve"> Η «αλλαγή παραδείγματος» συνεπάγεται βαθύτατες και ριζοσπαστικές μεταβολές με ολοκληρωμένη στρατηγική και επιχειρησιακό σχεδιασμό σε ζητήματα ανθρώπινων πόρων, διαδικασιών και δομών, συνδεόμενη με μετασχηματισμούς μεταρρυθμιστικού επιπέδου που εμπεριέχουν υψηλή πολυπλοκότητα, αβεβαιότητα και, ενδεχομένως, συγκρουσιακό πλαίσιο, αντί διαχείρισης προβλημάτων και αντιμετώπισης μικροαλλαγών. Σχετ. βλ.: Παπούλιας (2008).</w:t>
      </w:r>
    </w:p>
  </w:footnote>
  <w:footnote w:id="51">
    <w:p w:rsidR="00E0754B" w:rsidRDefault="00E0754B">
      <w:pPr>
        <w:pStyle w:val="FootnoteText"/>
      </w:pPr>
      <w:r>
        <w:rPr>
          <w:rStyle w:val="FootnoteReference"/>
        </w:rPr>
        <w:footnoteRef/>
      </w:r>
      <w:r>
        <w:t xml:space="preserve"> Συναφώς, η </w:t>
      </w:r>
      <w:r>
        <w:rPr>
          <w:noProof/>
        </w:rPr>
        <w:t xml:space="preserve">Σπανού (2001, σ. 205) επισημαίνει την άνιση </w:t>
      </w:r>
      <w:r>
        <w:t>επίδραση του εξευρωπαϊσμού στα επιμέρους τμήματα του πολιτικο-διοικητικού συστήματος</w:t>
      </w:r>
      <w:r>
        <w:rPr>
          <w:noProof/>
        </w:rPr>
        <w:t>.</w:t>
      </w:r>
    </w:p>
  </w:footnote>
  <w:footnote w:id="52">
    <w:p w:rsidR="00E0754B" w:rsidRDefault="00E0754B" w:rsidP="00BD1F62">
      <w:pPr>
        <w:pStyle w:val="FootnoteText"/>
      </w:pPr>
      <w:r>
        <w:rPr>
          <w:rStyle w:val="FootnoteReference"/>
        </w:rPr>
        <w:footnoteRef/>
      </w:r>
      <w:r>
        <w:t xml:space="preserve"> Σχετ. βλ.: προηγούμενη ενότητα (4).</w:t>
      </w:r>
    </w:p>
  </w:footnote>
  <w:footnote w:id="53">
    <w:p w:rsidR="00E0754B" w:rsidRDefault="00E0754B">
      <w:pPr>
        <w:pStyle w:val="FootnoteText"/>
      </w:pPr>
      <w:r>
        <w:rPr>
          <w:rStyle w:val="FootnoteReference"/>
        </w:rPr>
        <w:footnoteRef/>
      </w:r>
      <w:r>
        <w:t xml:space="preserve"> Σύμφωνα με τον Ιωακειμίδη (1998, σ. 131) η ενοποιητική διαδικασία «εσωτερικοποιείται» από το εγχώριο σύστημα διακυβέρνησης και «επιφέρει σημαντικές ανακατατάξεις στις σχέσεις κράτους και υπο-κρατικών  μονάδων».</w:t>
      </w:r>
    </w:p>
  </w:footnote>
  <w:footnote w:id="54">
    <w:p w:rsidR="00E0754B" w:rsidRDefault="00E0754B">
      <w:pPr>
        <w:pStyle w:val="FootnoteText"/>
      </w:pPr>
      <w:r>
        <w:rPr>
          <w:rStyle w:val="FootnoteReference"/>
        </w:rPr>
        <w:footnoteRef/>
      </w:r>
      <w:r>
        <w:t xml:space="preserve"> Η συμμετοχή της Ομάδας Δράσης της Ευρωπαϊκής Επιτροπής (</w:t>
      </w:r>
      <w:r>
        <w:rPr>
          <w:lang w:val="en-US"/>
        </w:rPr>
        <w:t>Task</w:t>
      </w:r>
      <w:r w:rsidRPr="005D7958">
        <w:t xml:space="preserve"> </w:t>
      </w:r>
      <w:r>
        <w:rPr>
          <w:lang w:val="en-US"/>
        </w:rPr>
        <w:t>Force</w:t>
      </w:r>
      <w:r>
        <w:t>) για την παροχή συμβουλευτικών υπηρεσιών συνδέεται με μεταφορά πολιτικής (μεταφορά τεχνογνωσίας για αλλαγές στην ελληνική διοίκηση).</w:t>
      </w:r>
    </w:p>
  </w:footnote>
  <w:footnote w:id="55">
    <w:p w:rsidR="00E0754B" w:rsidRDefault="00E0754B" w:rsidP="002571C5">
      <w:pPr>
        <w:pStyle w:val="FootnoteText"/>
      </w:pPr>
      <w:r>
        <w:rPr>
          <w:rStyle w:val="FootnoteReference"/>
        </w:rPr>
        <w:footnoteRef/>
      </w:r>
      <w:r>
        <w:t xml:space="preserve"> Π.χ. η δαπάνη μισθοδοσίας περιορίστηκε από 24,5 δις ευρώ (2009) σε 16 δις ευρώ (2013). Σχετ.: Ολομέλεια της Βουλής, Ομιλία Υπουργού Διοικητικής Μεταρρύθμισης και Ηλεκτρονικής Διακυβέρνησης, 10.11.2013.</w:t>
      </w:r>
    </w:p>
  </w:footnote>
  <w:footnote w:id="56">
    <w:p w:rsidR="00E0754B" w:rsidRDefault="00E0754B">
      <w:pPr>
        <w:pStyle w:val="FootnoteText"/>
      </w:pPr>
      <w:r>
        <w:rPr>
          <w:rStyle w:val="FootnoteReference"/>
        </w:rPr>
        <w:footnoteRef/>
      </w:r>
      <w:r>
        <w:t xml:space="preserve"> Παρά τις επιμέρους προσπάθειες που εμφορούνταν από ειδικότερα χαρακτηριστικά (σχετ. βλ.: ν. 4250.2014 και ν. 4369.2016).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522BD32"/>
    <w:lvl w:ilvl="0">
      <w:start w:val="1"/>
      <w:numFmt w:val="bullet"/>
      <w:lvlText w:val=""/>
      <w:lvlJc w:val="left"/>
      <w:pPr>
        <w:tabs>
          <w:tab w:val="num" w:pos="643"/>
        </w:tabs>
        <w:ind w:left="643" w:hanging="360"/>
      </w:pPr>
      <w:rPr>
        <w:rFonts w:ascii="Symbol" w:hAnsi="Symbol" w:hint="default"/>
      </w:rPr>
    </w:lvl>
  </w:abstractNum>
  <w:abstractNum w:abstractNumId="1">
    <w:nsid w:val="10304286"/>
    <w:multiLevelType w:val="hybridMultilevel"/>
    <w:tmpl w:val="B06219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B6D2368"/>
    <w:multiLevelType w:val="hybridMultilevel"/>
    <w:tmpl w:val="BFC6B572"/>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
    <w:nsid w:val="31665D69"/>
    <w:multiLevelType w:val="hybridMultilevel"/>
    <w:tmpl w:val="058AC03C"/>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
    <w:nsid w:val="51125967"/>
    <w:multiLevelType w:val="hybridMultilevel"/>
    <w:tmpl w:val="256E4BD0"/>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nsid w:val="560E1499"/>
    <w:multiLevelType w:val="hybridMultilevel"/>
    <w:tmpl w:val="C554A1F6"/>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715A625D"/>
    <w:multiLevelType w:val="hybridMultilevel"/>
    <w:tmpl w:val="ED847680"/>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7">
    <w:nsid w:val="75534863"/>
    <w:multiLevelType w:val="hybridMultilevel"/>
    <w:tmpl w:val="2DC437FE"/>
    <w:lvl w:ilvl="0" w:tplc="E41A7634">
      <w:start w:val="1951"/>
      <w:numFmt w:val="bullet"/>
      <w:lvlText w:val="-"/>
      <w:lvlJc w:val="left"/>
      <w:pPr>
        <w:ind w:left="720" w:hanging="360"/>
      </w:pPr>
      <w:rPr>
        <w:rFonts w:ascii="Cambria" w:eastAsia="Times New Roman" w:hAnsi="Cambria"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4"/>
  </w:num>
  <w:num w:numId="5">
    <w:abstractNumId w:val="7"/>
  </w:num>
  <w:num w:numId="6">
    <w:abstractNumId w:val="6"/>
  </w:num>
  <w:num w:numId="7">
    <w:abstractNumId w:val="5"/>
  </w:num>
  <w:num w:numId="8">
    <w:abstractNumId w:val="2"/>
  </w:num>
  <w:num w:numId="9">
    <w:abstractNumId w:val="0"/>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284"/>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47A7"/>
    <w:rsid w:val="000018DA"/>
    <w:rsid w:val="00001B1D"/>
    <w:rsid w:val="00001BC9"/>
    <w:rsid w:val="00007AC0"/>
    <w:rsid w:val="00011C84"/>
    <w:rsid w:val="00015456"/>
    <w:rsid w:val="00020FEF"/>
    <w:rsid w:val="00021A0C"/>
    <w:rsid w:val="0002329F"/>
    <w:rsid w:val="000279F7"/>
    <w:rsid w:val="00030C7D"/>
    <w:rsid w:val="0003254C"/>
    <w:rsid w:val="00034B6E"/>
    <w:rsid w:val="00035BF1"/>
    <w:rsid w:val="00036931"/>
    <w:rsid w:val="000373F0"/>
    <w:rsid w:val="0004393F"/>
    <w:rsid w:val="000447A9"/>
    <w:rsid w:val="00044920"/>
    <w:rsid w:val="00044BC9"/>
    <w:rsid w:val="00044F80"/>
    <w:rsid w:val="0004621E"/>
    <w:rsid w:val="00051B27"/>
    <w:rsid w:val="000571D9"/>
    <w:rsid w:val="0006249A"/>
    <w:rsid w:val="00063084"/>
    <w:rsid w:val="0006534C"/>
    <w:rsid w:val="00065AD1"/>
    <w:rsid w:val="00067813"/>
    <w:rsid w:val="00072015"/>
    <w:rsid w:val="00073A7A"/>
    <w:rsid w:val="00077A66"/>
    <w:rsid w:val="00080691"/>
    <w:rsid w:val="00082418"/>
    <w:rsid w:val="00083B90"/>
    <w:rsid w:val="00085733"/>
    <w:rsid w:val="000927E0"/>
    <w:rsid w:val="000931E6"/>
    <w:rsid w:val="00094D3A"/>
    <w:rsid w:val="000960E5"/>
    <w:rsid w:val="000A2095"/>
    <w:rsid w:val="000B0292"/>
    <w:rsid w:val="000B1A59"/>
    <w:rsid w:val="000B2919"/>
    <w:rsid w:val="000B2D4D"/>
    <w:rsid w:val="000C3EE6"/>
    <w:rsid w:val="000C4F9C"/>
    <w:rsid w:val="000D0137"/>
    <w:rsid w:val="000D1609"/>
    <w:rsid w:val="000D3694"/>
    <w:rsid w:val="000D4422"/>
    <w:rsid w:val="000D4D76"/>
    <w:rsid w:val="000D51BA"/>
    <w:rsid w:val="000D5269"/>
    <w:rsid w:val="000D6C53"/>
    <w:rsid w:val="000D7FE5"/>
    <w:rsid w:val="000E011C"/>
    <w:rsid w:val="000E2189"/>
    <w:rsid w:val="000E37A0"/>
    <w:rsid w:val="000E3D33"/>
    <w:rsid w:val="000E4E67"/>
    <w:rsid w:val="000E76DE"/>
    <w:rsid w:val="000F0EBB"/>
    <w:rsid w:val="000F38AB"/>
    <w:rsid w:val="000F3A6D"/>
    <w:rsid w:val="000F53A4"/>
    <w:rsid w:val="00100237"/>
    <w:rsid w:val="001026EA"/>
    <w:rsid w:val="0010346F"/>
    <w:rsid w:val="0010377E"/>
    <w:rsid w:val="001044B7"/>
    <w:rsid w:val="001057A3"/>
    <w:rsid w:val="00110AEE"/>
    <w:rsid w:val="001113E7"/>
    <w:rsid w:val="00112C58"/>
    <w:rsid w:val="00112CFF"/>
    <w:rsid w:val="00113069"/>
    <w:rsid w:val="001141D7"/>
    <w:rsid w:val="00115029"/>
    <w:rsid w:val="00115089"/>
    <w:rsid w:val="0011598A"/>
    <w:rsid w:val="001166B7"/>
    <w:rsid w:val="00116DB9"/>
    <w:rsid w:val="00117313"/>
    <w:rsid w:val="00122377"/>
    <w:rsid w:val="00124254"/>
    <w:rsid w:val="001258A5"/>
    <w:rsid w:val="001265CB"/>
    <w:rsid w:val="001277AA"/>
    <w:rsid w:val="00127B63"/>
    <w:rsid w:val="00130D12"/>
    <w:rsid w:val="001311AD"/>
    <w:rsid w:val="001335CD"/>
    <w:rsid w:val="0014085A"/>
    <w:rsid w:val="001414F0"/>
    <w:rsid w:val="00141686"/>
    <w:rsid w:val="00141CA4"/>
    <w:rsid w:val="001457BE"/>
    <w:rsid w:val="00150434"/>
    <w:rsid w:val="0015131C"/>
    <w:rsid w:val="001533E8"/>
    <w:rsid w:val="00154C74"/>
    <w:rsid w:val="00155608"/>
    <w:rsid w:val="00155FB3"/>
    <w:rsid w:val="00157369"/>
    <w:rsid w:val="00160289"/>
    <w:rsid w:val="00160CB3"/>
    <w:rsid w:val="00163829"/>
    <w:rsid w:val="00164B5A"/>
    <w:rsid w:val="00170400"/>
    <w:rsid w:val="00171BD9"/>
    <w:rsid w:val="00174892"/>
    <w:rsid w:val="0017551E"/>
    <w:rsid w:val="00184264"/>
    <w:rsid w:val="00187D4D"/>
    <w:rsid w:val="001908A5"/>
    <w:rsid w:val="0019176E"/>
    <w:rsid w:val="00192021"/>
    <w:rsid w:val="001936D3"/>
    <w:rsid w:val="00193D5B"/>
    <w:rsid w:val="00194033"/>
    <w:rsid w:val="00196074"/>
    <w:rsid w:val="001A1FFE"/>
    <w:rsid w:val="001A2810"/>
    <w:rsid w:val="001A6C92"/>
    <w:rsid w:val="001A7660"/>
    <w:rsid w:val="001B4852"/>
    <w:rsid w:val="001B60AC"/>
    <w:rsid w:val="001B71AF"/>
    <w:rsid w:val="001C15A6"/>
    <w:rsid w:val="001C1D8A"/>
    <w:rsid w:val="001C2B4D"/>
    <w:rsid w:val="001C2EFA"/>
    <w:rsid w:val="001C5E0E"/>
    <w:rsid w:val="001C6BE2"/>
    <w:rsid w:val="001C7304"/>
    <w:rsid w:val="001D107B"/>
    <w:rsid w:val="001D2951"/>
    <w:rsid w:val="001D3336"/>
    <w:rsid w:val="001D725E"/>
    <w:rsid w:val="001F007C"/>
    <w:rsid w:val="001F0AF6"/>
    <w:rsid w:val="001F193D"/>
    <w:rsid w:val="001F4FE4"/>
    <w:rsid w:val="002019C9"/>
    <w:rsid w:val="00202743"/>
    <w:rsid w:val="00204FEA"/>
    <w:rsid w:val="00207C8D"/>
    <w:rsid w:val="002131A6"/>
    <w:rsid w:val="00214AC2"/>
    <w:rsid w:val="002170EA"/>
    <w:rsid w:val="00224549"/>
    <w:rsid w:val="00225C8A"/>
    <w:rsid w:val="002321CB"/>
    <w:rsid w:val="00243554"/>
    <w:rsid w:val="002469ED"/>
    <w:rsid w:val="0025157A"/>
    <w:rsid w:val="00251655"/>
    <w:rsid w:val="00251F0E"/>
    <w:rsid w:val="00254D76"/>
    <w:rsid w:val="002571C5"/>
    <w:rsid w:val="00257B76"/>
    <w:rsid w:val="00257EF2"/>
    <w:rsid w:val="002622F3"/>
    <w:rsid w:val="00263A7C"/>
    <w:rsid w:val="00264BFC"/>
    <w:rsid w:val="002660B2"/>
    <w:rsid w:val="00273453"/>
    <w:rsid w:val="00273B97"/>
    <w:rsid w:val="00275B51"/>
    <w:rsid w:val="0027793F"/>
    <w:rsid w:val="00280C6A"/>
    <w:rsid w:val="0028193C"/>
    <w:rsid w:val="00282224"/>
    <w:rsid w:val="00282D9A"/>
    <w:rsid w:val="0028445B"/>
    <w:rsid w:val="00284751"/>
    <w:rsid w:val="00287707"/>
    <w:rsid w:val="002906CB"/>
    <w:rsid w:val="00292186"/>
    <w:rsid w:val="00295803"/>
    <w:rsid w:val="002959DB"/>
    <w:rsid w:val="00296F18"/>
    <w:rsid w:val="002A144D"/>
    <w:rsid w:val="002A207A"/>
    <w:rsid w:val="002A2DE7"/>
    <w:rsid w:val="002A6E96"/>
    <w:rsid w:val="002B16F9"/>
    <w:rsid w:val="002B2CA0"/>
    <w:rsid w:val="002B3F19"/>
    <w:rsid w:val="002B4065"/>
    <w:rsid w:val="002B47FC"/>
    <w:rsid w:val="002B5F23"/>
    <w:rsid w:val="002C2009"/>
    <w:rsid w:val="002C238F"/>
    <w:rsid w:val="002C29A0"/>
    <w:rsid w:val="002C43B1"/>
    <w:rsid w:val="002C6B3A"/>
    <w:rsid w:val="002D05D8"/>
    <w:rsid w:val="002D18A7"/>
    <w:rsid w:val="002D317F"/>
    <w:rsid w:val="002D4921"/>
    <w:rsid w:val="002E0B72"/>
    <w:rsid w:val="002E2803"/>
    <w:rsid w:val="002E3756"/>
    <w:rsid w:val="002E515B"/>
    <w:rsid w:val="002E603D"/>
    <w:rsid w:val="002F01C7"/>
    <w:rsid w:val="002F0946"/>
    <w:rsid w:val="002F0AF1"/>
    <w:rsid w:val="002F1DF5"/>
    <w:rsid w:val="002F37DA"/>
    <w:rsid w:val="002F47A7"/>
    <w:rsid w:val="002F4A94"/>
    <w:rsid w:val="002F5968"/>
    <w:rsid w:val="002F692D"/>
    <w:rsid w:val="002F69EC"/>
    <w:rsid w:val="00300BEC"/>
    <w:rsid w:val="003014CB"/>
    <w:rsid w:val="003020C8"/>
    <w:rsid w:val="00304503"/>
    <w:rsid w:val="003051CF"/>
    <w:rsid w:val="00305363"/>
    <w:rsid w:val="00305BC9"/>
    <w:rsid w:val="00305F69"/>
    <w:rsid w:val="003120B7"/>
    <w:rsid w:val="00314E4F"/>
    <w:rsid w:val="0031650A"/>
    <w:rsid w:val="00320FAB"/>
    <w:rsid w:val="003226EA"/>
    <w:rsid w:val="00325144"/>
    <w:rsid w:val="00332CA4"/>
    <w:rsid w:val="00332FEA"/>
    <w:rsid w:val="00334B76"/>
    <w:rsid w:val="00336899"/>
    <w:rsid w:val="00340246"/>
    <w:rsid w:val="00342157"/>
    <w:rsid w:val="00342A0F"/>
    <w:rsid w:val="00345035"/>
    <w:rsid w:val="003474E3"/>
    <w:rsid w:val="0035024B"/>
    <w:rsid w:val="00350B75"/>
    <w:rsid w:val="00352367"/>
    <w:rsid w:val="00354566"/>
    <w:rsid w:val="003570DC"/>
    <w:rsid w:val="00357CDC"/>
    <w:rsid w:val="00363ED4"/>
    <w:rsid w:val="00365DAD"/>
    <w:rsid w:val="00367CCF"/>
    <w:rsid w:val="00367D62"/>
    <w:rsid w:val="00373B0A"/>
    <w:rsid w:val="00377B92"/>
    <w:rsid w:val="0038069D"/>
    <w:rsid w:val="00380B21"/>
    <w:rsid w:val="00384F73"/>
    <w:rsid w:val="00386A69"/>
    <w:rsid w:val="00386CB8"/>
    <w:rsid w:val="00391A74"/>
    <w:rsid w:val="00392CB7"/>
    <w:rsid w:val="003A0BEF"/>
    <w:rsid w:val="003A1452"/>
    <w:rsid w:val="003A400E"/>
    <w:rsid w:val="003A5232"/>
    <w:rsid w:val="003A5D8E"/>
    <w:rsid w:val="003A60EC"/>
    <w:rsid w:val="003A6736"/>
    <w:rsid w:val="003A79C8"/>
    <w:rsid w:val="003B024C"/>
    <w:rsid w:val="003B0C99"/>
    <w:rsid w:val="003B4816"/>
    <w:rsid w:val="003D15BD"/>
    <w:rsid w:val="003D38DF"/>
    <w:rsid w:val="003D57E8"/>
    <w:rsid w:val="003D75F3"/>
    <w:rsid w:val="003E1981"/>
    <w:rsid w:val="003E4B11"/>
    <w:rsid w:val="003E5BC3"/>
    <w:rsid w:val="003E5EE1"/>
    <w:rsid w:val="003E6B2F"/>
    <w:rsid w:val="003F0F56"/>
    <w:rsid w:val="003F0F80"/>
    <w:rsid w:val="003F439F"/>
    <w:rsid w:val="003F4882"/>
    <w:rsid w:val="003F6E5D"/>
    <w:rsid w:val="003F7136"/>
    <w:rsid w:val="003F7467"/>
    <w:rsid w:val="003F7B9E"/>
    <w:rsid w:val="00407C9C"/>
    <w:rsid w:val="0041363D"/>
    <w:rsid w:val="004235C9"/>
    <w:rsid w:val="00423A88"/>
    <w:rsid w:val="00424A3E"/>
    <w:rsid w:val="00427252"/>
    <w:rsid w:val="00427393"/>
    <w:rsid w:val="00430252"/>
    <w:rsid w:val="00432C83"/>
    <w:rsid w:val="00434C42"/>
    <w:rsid w:val="00435987"/>
    <w:rsid w:val="00440656"/>
    <w:rsid w:val="0044527B"/>
    <w:rsid w:val="004505DE"/>
    <w:rsid w:val="00453007"/>
    <w:rsid w:val="0045536F"/>
    <w:rsid w:val="004602EB"/>
    <w:rsid w:val="0046468B"/>
    <w:rsid w:val="00464A60"/>
    <w:rsid w:val="00466652"/>
    <w:rsid w:val="004710EE"/>
    <w:rsid w:val="00480F80"/>
    <w:rsid w:val="004816A6"/>
    <w:rsid w:val="00482732"/>
    <w:rsid w:val="00483543"/>
    <w:rsid w:val="0048617B"/>
    <w:rsid w:val="00486C70"/>
    <w:rsid w:val="004919E0"/>
    <w:rsid w:val="00496885"/>
    <w:rsid w:val="004A035B"/>
    <w:rsid w:val="004A59EA"/>
    <w:rsid w:val="004A5F2F"/>
    <w:rsid w:val="004B7388"/>
    <w:rsid w:val="004C1D46"/>
    <w:rsid w:val="004C223C"/>
    <w:rsid w:val="004D0BDC"/>
    <w:rsid w:val="004D27AF"/>
    <w:rsid w:val="004D3EF1"/>
    <w:rsid w:val="004E061D"/>
    <w:rsid w:val="004E4B82"/>
    <w:rsid w:val="004E56F0"/>
    <w:rsid w:val="004E5C33"/>
    <w:rsid w:val="004E68BD"/>
    <w:rsid w:val="004E6B32"/>
    <w:rsid w:val="004F0318"/>
    <w:rsid w:val="004F0EE4"/>
    <w:rsid w:val="004F2058"/>
    <w:rsid w:val="004F2AA6"/>
    <w:rsid w:val="004F2C50"/>
    <w:rsid w:val="004F51C9"/>
    <w:rsid w:val="004F55B2"/>
    <w:rsid w:val="00501016"/>
    <w:rsid w:val="00501834"/>
    <w:rsid w:val="00503A87"/>
    <w:rsid w:val="0050406A"/>
    <w:rsid w:val="00511573"/>
    <w:rsid w:val="00512EE9"/>
    <w:rsid w:val="00516033"/>
    <w:rsid w:val="0052136A"/>
    <w:rsid w:val="00521C19"/>
    <w:rsid w:val="00525549"/>
    <w:rsid w:val="0052583C"/>
    <w:rsid w:val="005271F2"/>
    <w:rsid w:val="005273DA"/>
    <w:rsid w:val="005317B9"/>
    <w:rsid w:val="005410E7"/>
    <w:rsid w:val="00542865"/>
    <w:rsid w:val="00544D12"/>
    <w:rsid w:val="00552B95"/>
    <w:rsid w:val="00552E90"/>
    <w:rsid w:val="005616B2"/>
    <w:rsid w:val="00563373"/>
    <w:rsid w:val="00564698"/>
    <w:rsid w:val="0056799C"/>
    <w:rsid w:val="005701B6"/>
    <w:rsid w:val="005705C6"/>
    <w:rsid w:val="00571ACB"/>
    <w:rsid w:val="00571C08"/>
    <w:rsid w:val="005728B6"/>
    <w:rsid w:val="00573897"/>
    <w:rsid w:val="00576CB7"/>
    <w:rsid w:val="0057738E"/>
    <w:rsid w:val="005773FB"/>
    <w:rsid w:val="0058131D"/>
    <w:rsid w:val="005817B4"/>
    <w:rsid w:val="005903B9"/>
    <w:rsid w:val="00590D8B"/>
    <w:rsid w:val="00593EA7"/>
    <w:rsid w:val="00596163"/>
    <w:rsid w:val="005A0B5B"/>
    <w:rsid w:val="005A1DB0"/>
    <w:rsid w:val="005A41B7"/>
    <w:rsid w:val="005A5CC7"/>
    <w:rsid w:val="005A6037"/>
    <w:rsid w:val="005A608D"/>
    <w:rsid w:val="005A6E3B"/>
    <w:rsid w:val="005A7221"/>
    <w:rsid w:val="005A74F3"/>
    <w:rsid w:val="005B0CE0"/>
    <w:rsid w:val="005B4C48"/>
    <w:rsid w:val="005B6C91"/>
    <w:rsid w:val="005B782D"/>
    <w:rsid w:val="005C1D0E"/>
    <w:rsid w:val="005C4B0A"/>
    <w:rsid w:val="005C4CC2"/>
    <w:rsid w:val="005C7263"/>
    <w:rsid w:val="005D1C54"/>
    <w:rsid w:val="005D2D8D"/>
    <w:rsid w:val="005D603A"/>
    <w:rsid w:val="005D7209"/>
    <w:rsid w:val="005D7958"/>
    <w:rsid w:val="005E09C1"/>
    <w:rsid w:val="005F0978"/>
    <w:rsid w:val="005F0BC6"/>
    <w:rsid w:val="005F212B"/>
    <w:rsid w:val="005F2D27"/>
    <w:rsid w:val="005F61C5"/>
    <w:rsid w:val="005F7B2F"/>
    <w:rsid w:val="0060356C"/>
    <w:rsid w:val="00603671"/>
    <w:rsid w:val="006047EA"/>
    <w:rsid w:val="00606831"/>
    <w:rsid w:val="006076AC"/>
    <w:rsid w:val="00610C3A"/>
    <w:rsid w:val="00611489"/>
    <w:rsid w:val="00615DFF"/>
    <w:rsid w:val="00621834"/>
    <w:rsid w:val="0062347A"/>
    <w:rsid w:val="006309F8"/>
    <w:rsid w:val="00632C04"/>
    <w:rsid w:val="00632C3E"/>
    <w:rsid w:val="006334E0"/>
    <w:rsid w:val="00633FA1"/>
    <w:rsid w:val="00634EF3"/>
    <w:rsid w:val="00635117"/>
    <w:rsid w:val="00637525"/>
    <w:rsid w:val="00637611"/>
    <w:rsid w:val="00644465"/>
    <w:rsid w:val="00652079"/>
    <w:rsid w:val="00652AE3"/>
    <w:rsid w:val="00652DE4"/>
    <w:rsid w:val="006550CD"/>
    <w:rsid w:val="006559F1"/>
    <w:rsid w:val="00660F88"/>
    <w:rsid w:val="00664918"/>
    <w:rsid w:val="00665178"/>
    <w:rsid w:val="0066797D"/>
    <w:rsid w:val="00667F93"/>
    <w:rsid w:val="006726D4"/>
    <w:rsid w:val="00674960"/>
    <w:rsid w:val="00674B64"/>
    <w:rsid w:val="006806A9"/>
    <w:rsid w:val="00680854"/>
    <w:rsid w:val="006830A8"/>
    <w:rsid w:val="00683C57"/>
    <w:rsid w:val="00684FE5"/>
    <w:rsid w:val="0068687A"/>
    <w:rsid w:val="00687479"/>
    <w:rsid w:val="00687704"/>
    <w:rsid w:val="006901B0"/>
    <w:rsid w:val="006902CF"/>
    <w:rsid w:val="00690A3A"/>
    <w:rsid w:val="006916CA"/>
    <w:rsid w:val="00692322"/>
    <w:rsid w:val="0069271B"/>
    <w:rsid w:val="006929C4"/>
    <w:rsid w:val="00692F8B"/>
    <w:rsid w:val="00693080"/>
    <w:rsid w:val="0069463C"/>
    <w:rsid w:val="00697A72"/>
    <w:rsid w:val="006A0392"/>
    <w:rsid w:val="006A2622"/>
    <w:rsid w:val="006A26DA"/>
    <w:rsid w:val="006A6A11"/>
    <w:rsid w:val="006A6AB2"/>
    <w:rsid w:val="006A715F"/>
    <w:rsid w:val="006B0212"/>
    <w:rsid w:val="006B2865"/>
    <w:rsid w:val="006B7EC5"/>
    <w:rsid w:val="006C0D2D"/>
    <w:rsid w:val="006C196F"/>
    <w:rsid w:val="006C6418"/>
    <w:rsid w:val="006C7781"/>
    <w:rsid w:val="006D157D"/>
    <w:rsid w:val="006D42BA"/>
    <w:rsid w:val="006D5063"/>
    <w:rsid w:val="006E08C0"/>
    <w:rsid w:val="006E0DF4"/>
    <w:rsid w:val="006E0E6C"/>
    <w:rsid w:val="006E2C96"/>
    <w:rsid w:val="006E34E6"/>
    <w:rsid w:val="006E3EDE"/>
    <w:rsid w:val="006E6D40"/>
    <w:rsid w:val="006F0D2D"/>
    <w:rsid w:val="006F2E4C"/>
    <w:rsid w:val="006F728E"/>
    <w:rsid w:val="006F7D38"/>
    <w:rsid w:val="006F7EC9"/>
    <w:rsid w:val="00701324"/>
    <w:rsid w:val="00702FCA"/>
    <w:rsid w:val="00703032"/>
    <w:rsid w:val="00711B1A"/>
    <w:rsid w:val="00712F5A"/>
    <w:rsid w:val="00713423"/>
    <w:rsid w:val="0071396F"/>
    <w:rsid w:val="00716F89"/>
    <w:rsid w:val="007212F6"/>
    <w:rsid w:val="007257AC"/>
    <w:rsid w:val="00727BD1"/>
    <w:rsid w:val="00730884"/>
    <w:rsid w:val="00730CEE"/>
    <w:rsid w:val="00730F52"/>
    <w:rsid w:val="00731484"/>
    <w:rsid w:val="00734064"/>
    <w:rsid w:val="007356E5"/>
    <w:rsid w:val="00736618"/>
    <w:rsid w:val="0073794A"/>
    <w:rsid w:val="0074118F"/>
    <w:rsid w:val="0074516A"/>
    <w:rsid w:val="0075099F"/>
    <w:rsid w:val="00752786"/>
    <w:rsid w:val="00753335"/>
    <w:rsid w:val="007552A8"/>
    <w:rsid w:val="007552C0"/>
    <w:rsid w:val="00760C02"/>
    <w:rsid w:val="00762168"/>
    <w:rsid w:val="007624F9"/>
    <w:rsid w:val="00770ECD"/>
    <w:rsid w:val="00770FDE"/>
    <w:rsid w:val="0077346A"/>
    <w:rsid w:val="0077549C"/>
    <w:rsid w:val="007778D9"/>
    <w:rsid w:val="007830FC"/>
    <w:rsid w:val="0078679A"/>
    <w:rsid w:val="00787B0A"/>
    <w:rsid w:val="00791AA1"/>
    <w:rsid w:val="00794A6D"/>
    <w:rsid w:val="007A0020"/>
    <w:rsid w:val="007A037C"/>
    <w:rsid w:val="007A4812"/>
    <w:rsid w:val="007A4D0A"/>
    <w:rsid w:val="007A6F60"/>
    <w:rsid w:val="007B07B9"/>
    <w:rsid w:val="007B39C1"/>
    <w:rsid w:val="007B5BC7"/>
    <w:rsid w:val="007B5C62"/>
    <w:rsid w:val="007B73DD"/>
    <w:rsid w:val="007C2AB4"/>
    <w:rsid w:val="007C3B48"/>
    <w:rsid w:val="007C6820"/>
    <w:rsid w:val="007D364D"/>
    <w:rsid w:val="007D7272"/>
    <w:rsid w:val="007D775C"/>
    <w:rsid w:val="007E2704"/>
    <w:rsid w:val="007E47F6"/>
    <w:rsid w:val="007F2F7F"/>
    <w:rsid w:val="007F39B6"/>
    <w:rsid w:val="007F58A0"/>
    <w:rsid w:val="00800C8F"/>
    <w:rsid w:val="00802065"/>
    <w:rsid w:val="00805BCD"/>
    <w:rsid w:val="008077FA"/>
    <w:rsid w:val="00807FBB"/>
    <w:rsid w:val="00810B6D"/>
    <w:rsid w:val="00811FCE"/>
    <w:rsid w:val="00816BE8"/>
    <w:rsid w:val="00817EC4"/>
    <w:rsid w:val="0082068D"/>
    <w:rsid w:val="00820DB2"/>
    <w:rsid w:val="0082157F"/>
    <w:rsid w:val="00821AD7"/>
    <w:rsid w:val="00823478"/>
    <w:rsid w:val="00824C30"/>
    <w:rsid w:val="00830C96"/>
    <w:rsid w:val="008313FE"/>
    <w:rsid w:val="0083146A"/>
    <w:rsid w:val="00833B30"/>
    <w:rsid w:val="008359DE"/>
    <w:rsid w:val="0083725A"/>
    <w:rsid w:val="00837DF9"/>
    <w:rsid w:val="00842727"/>
    <w:rsid w:val="00844E35"/>
    <w:rsid w:val="0084633B"/>
    <w:rsid w:val="00851487"/>
    <w:rsid w:val="00852975"/>
    <w:rsid w:val="00852FE9"/>
    <w:rsid w:val="00857D7F"/>
    <w:rsid w:val="00860BCA"/>
    <w:rsid w:val="0086128E"/>
    <w:rsid w:val="00864173"/>
    <w:rsid w:val="00872002"/>
    <w:rsid w:val="008733DD"/>
    <w:rsid w:val="008733EA"/>
    <w:rsid w:val="0087376B"/>
    <w:rsid w:val="00875FC8"/>
    <w:rsid w:val="00876C69"/>
    <w:rsid w:val="008845B3"/>
    <w:rsid w:val="008A16F2"/>
    <w:rsid w:val="008A1F75"/>
    <w:rsid w:val="008A3CF5"/>
    <w:rsid w:val="008A64C6"/>
    <w:rsid w:val="008B0511"/>
    <w:rsid w:val="008B0780"/>
    <w:rsid w:val="008B3018"/>
    <w:rsid w:val="008B71A4"/>
    <w:rsid w:val="008C0EBD"/>
    <w:rsid w:val="008C3D8C"/>
    <w:rsid w:val="008C403F"/>
    <w:rsid w:val="008C612A"/>
    <w:rsid w:val="008D2960"/>
    <w:rsid w:val="008D2B97"/>
    <w:rsid w:val="008D46F1"/>
    <w:rsid w:val="008D7799"/>
    <w:rsid w:val="008E6522"/>
    <w:rsid w:val="008F0584"/>
    <w:rsid w:val="008F0C58"/>
    <w:rsid w:val="008F4114"/>
    <w:rsid w:val="009013C3"/>
    <w:rsid w:val="00902B5F"/>
    <w:rsid w:val="0090360C"/>
    <w:rsid w:val="00904973"/>
    <w:rsid w:val="00904C9F"/>
    <w:rsid w:val="009108EF"/>
    <w:rsid w:val="00910FA2"/>
    <w:rsid w:val="009124B4"/>
    <w:rsid w:val="009128D9"/>
    <w:rsid w:val="009135C1"/>
    <w:rsid w:val="00914BF7"/>
    <w:rsid w:val="00914FB8"/>
    <w:rsid w:val="009203EA"/>
    <w:rsid w:val="00920641"/>
    <w:rsid w:val="00921D1D"/>
    <w:rsid w:val="00924E28"/>
    <w:rsid w:val="0092544B"/>
    <w:rsid w:val="00925512"/>
    <w:rsid w:val="00931AE8"/>
    <w:rsid w:val="00932A10"/>
    <w:rsid w:val="00940338"/>
    <w:rsid w:val="00940428"/>
    <w:rsid w:val="00942E22"/>
    <w:rsid w:val="00947B28"/>
    <w:rsid w:val="009506AE"/>
    <w:rsid w:val="00952905"/>
    <w:rsid w:val="009541B3"/>
    <w:rsid w:val="00954DF0"/>
    <w:rsid w:val="00955CDE"/>
    <w:rsid w:val="0096511B"/>
    <w:rsid w:val="00970757"/>
    <w:rsid w:val="0097631E"/>
    <w:rsid w:val="0098027C"/>
    <w:rsid w:val="009816EB"/>
    <w:rsid w:val="00984A47"/>
    <w:rsid w:val="0098615B"/>
    <w:rsid w:val="00986827"/>
    <w:rsid w:val="0098712B"/>
    <w:rsid w:val="00991759"/>
    <w:rsid w:val="0099184B"/>
    <w:rsid w:val="009935FD"/>
    <w:rsid w:val="0099500C"/>
    <w:rsid w:val="00996DEE"/>
    <w:rsid w:val="009974A2"/>
    <w:rsid w:val="009A3BDF"/>
    <w:rsid w:val="009A597D"/>
    <w:rsid w:val="009A63DE"/>
    <w:rsid w:val="009A71B3"/>
    <w:rsid w:val="009A763E"/>
    <w:rsid w:val="009B59E4"/>
    <w:rsid w:val="009C08D4"/>
    <w:rsid w:val="009C0E0C"/>
    <w:rsid w:val="009C35AC"/>
    <w:rsid w:val="009C3BB8"/>
    <w:rsid w:val="009C5B2A"/>
    <w:rsid w:val="009D18CF"/>
    <w:rsid w:val="009D2C7C"/>
    <w:rsid w:val="009D355C"/>
    <w:rsid w:val="009E0728"/>
    <w:rsid w:val="009E2FAE"/>
    <w:rsid w:val="009E417A"/>
    <w:rsid w:val="009E7207"/>
    <w:rsid w:val="009E783D"/>
    <w:rsid w:val="009F0226"/>
    <w:rsid w:val="009F0701"/>
    <w:rsid w:val="009F2C2A"/>
    <w:rsid w:val="009F725F"/>
    <w:rsid w:val="00A01BFB"/>
    <w:rsid w:val="00A10BBE"/>
    <w:rsid w:val="00A23070"/>
    <w:rsid w:val="00A25781"/>
    <w:rsid w:val="00A27CC1"/>
    <w:rsid w:val="00A32C46"/>
    <w:rsid w:val="00A32D7C"/>
    <w:rsid w:val="00A33163"/>
    <w:rsid w:val="00A33A90"/>
    <w:rsid w:val="00A3533C"/>
    <w:rsid w:val="00A37314"/>
    <w:rsid w:val="00A41F3E"/>
    <w:rsid w:val="00A445DD"/>
    <w:rsid w:val="00A44EFB"/>
    <w:rsid w:val="00A45195"/>
    <w:rsid w:val="00A46AC9"/>
    <w:rsid w:val="00A5059E"/>
    <w:rsid w:val="00A52B5C"/>
    <w:rsid w:val="00A52DB7"/>
    <w:rsid w:val="00A53290"/>
    <w:rsid w:val="00A56443"/>
    <w:rsid w:val="00A62CE9"/>
    <w:rsid w:val="00A6309F"/>
    <w:rsid w:val="00A63341"/>
    <w:rsid w:val="00A64986"/>
    <w:rsid w:val="00A65891"/>
    <w:rsid w:val="00A66826"/>
    <w:rsid w:val="00A7149F"/>
    <w:rsid w:val="00A72C20"/>
    <w:rsid w:val="00A75023"/>
    <w:rsid w:val="00A75F43"/>
    <w:rsid w:val="00A7702E"/>
    <w:rsid w:val="00A80FDE"/>
    <w:rsid w:val="00A861E6"/>
    <w:rsid w:val="00A86FFF"/>
    <w:rsid w:val="00AA0295"/>
    <w:rsid w:val="00AA1E70"/>
    <w:rsid w:val="00AA2FEE"/>
    <w:rsid w:val="00AA3F21"/>
    <w:rsid w:val="00AC0381"/>
    <w:rsid w:val="00AC1D5E"/>
    <w:rsid w:val="00AC3B22"/>
    <w:rsid w:val="00AD043C"/>
    <w:rsid w:val="00AD25F5"/>
    <w:rsid w:val="00AD6EF7"/>
    <w:rsid w:val="00AD7A29"/>
    <w:rsid w:val="00AD7B45"/>
    <w:rsid w:val="00AE0131"/>
    <w:rsid w:val="00AE08C8"/>
    <w:rsid w:val="00AE0CDB"/>
    <w:rsid w:val="00AE3579"/>
    <w:rsid w:val="00AE38CC"/>
    <w:rsid w:val="00AE4560"/>
    <w:rsid w:val="00AE49F6"/>
    <w:rsid w:val="00AE5F98"/>
    <w:rsid w:val="00AE6527"/>
    <w:rsid w:val="00AF0304"/>
    <w:rsid w:val="00AF20BF"/>
    <w:rsid w:val="00AF3566"/>
    <w:rsid w:val="00AF383C"/>
    <w:rsid w:val="00AF59E1"/>
    <w:rsid w:val="00AF6BA0"/>
    <w:rsid w:val="00AF778D"/>
    <w:rsid w:val="00B05EBF"/>
    <w:rsid w:val="00B05FB3"/>
    <w:rsid w:val="00B119B2"/>
    <w:rsid w:val="00B1383B"/>
    <w:rsid w:val="00B161C5"/>
    <w:rsid w:val="00B162B1"/>
    <w:rsid w:val="00B20480"/>
    <w:rsid w:val="00B2348E"/>
    <w:rsid w:val="00B236E5"/>
    <w:rsid w:val="00B23E30"/>
    <w:rsid w:val="00B2433D"/>
    <w:rsid w:val="00B26B61"/>
    <w:rsid w:val="00B33EFB"/>
    <w:rsid w:val="00B34EE0"/>
    <w:rsid w:val="00B35059"/>
    <w:rsid w:val="00B352F1"/>
    <w:rsid w:val="00B35C82"/>
    <w:rsid w:val="00B37CF6"/>
    <w:rsid w:val="00B408A7"/>
    <w:rsid w:val="00B41CC4"/>
    <w:rsid w:val="00B422F2"/>
    <w:rsid w:val="00B424DA"/>
    <w:rsid w:val="00B42E3D"/>
    <w:rsid w:val="00B47FE1"/>
    <w:rsid w:val="00B50E5F"/>
    <w:rsid w:val="00B535CE"/>
    <w:rsid w:val="00B54B5C"/>
    <w:rsid w:val="00B616C9"/>
    <w:rsid w:val="00B620DA"/>
    <w:rsid w:val="00B628C4"/>
    <w:rsid w:val="00B63309"/>
    <w:rsid w:val="00B71EC2"/>
    <w:rsid w:val="00B7228A"/>
    <w:rsid w:val="00B740AD"/>
    <w:rsid w:val="00B74187"/>
    <w:rsid w:val="00B75FDE"/>
    <w:rsid w:val="00B77DDD"/>
    <w:rsid w:val="00B80770"/>
    <w:rsid w:val="00B80CF2"/>
    <w:rsid w:val="00B820FF"/>
    <w:rsid w:val="00B82AEF"/>
    <w:rsid w:val="00B83055"/>
    <w:rsid w:val="00B90101"/>
    <w:rsid w:val="00B94C83"/>
    <w:rsid w:val="00B9500E"/>
    <w:rsid w:val="00B95204"/>
    <w:rsid w:val="00B968C7"/>
    <w:rsid w:val="00BA5028"/>
    <w:rsid w:val="00BA714B"/>
    <w:rsid w:val="00BB003C"/>
    <w:rsid w:val="00BB6AE8"/>
    <w:rsid w:val="00BB7DBF"/>
    <w:rsid w:val="00BC11E7"/>
    <w:rsid w:val="00BC2383"/>
    <w:rsid w:val="00BC4CC9"/>
    <w:rsid w:val="00BC5A55"/>
    <w:rsid w:val="00BD1F62"/>
    <w:rsid w:val="00BD22A2"/>
    <w:rsid w:val="00BD2DB7"/>
    <w:rsid w:val="00BD4E0C"/>
    <w:rsid w:val="00BE3304"/>
    <w:rsid w:val="00BE3844"/>
    <w:rsid w:val="00BE4EAF"/>
    <w:rsid w:val="00BE5FE2"/>
    <w:rsid w:val="00BE6E90"/>
    <w:rsid w:val="00BE7436"/>
    <w:rsid w:val="00BE7978"/>
    <w:rsid w:val="00BF4E38"/>
    <w:rsid w:val="00C008C5"/>
    <w:rsid w:val="00C02813"/>
    <w:rsid w:val="00C042F1"/>
    <w:rsid w:val="00C05E57"/>
    <w:rsid w:val="00C12499"/>
    <w:rsid w:val="00C1463F"/>
    <w:rsid w:val="00C16605"/>
    <w:rsid w:val="00C16C47"/>
    <w:rsid w:val="00C215BD"/>
    <w:rsid w:val="00C21A9E"/>
    <w:rsid w:val="00C23E17"/>
    <w:rsid w:val="00C2792D"/>
    <w:rsid w:val="00C315FE"/>
    <w:rsid w:val="00C326E2"/>
    <w:rsid w:val="00C340C8"/>
    <w:rsid w:val="00C37365"/>
    <w:rsid w:val="00C400CF"/>
    <w:rsid w:val="00C419C0"/>
    <w:rsid w:val="00C42A3E"/>
    <w:rsid w:val="00C42BA2"/>
    <w:rsid w:val="00C464D1"/>
    <w:rsid w:val="00C4659C"/>
    <w:rsid w:val="00C54B98"/>
    <w:rsid w:val="00C600AB"/>
    <w:rsid w:val="00C624BB"/>
    <w:rsid w:val="00C63940"/>
    <w:rsid w:val="00C672DA"/>
    <w:rsid w:val="00C679B8"/>
    <w:rsid w:val="00C71E16"/>
    <w:rsid w:val="00C7326C"/>
    <w:rsid w:val="00C75333"/>
    <w:rsid w:val="00C75AF1"/>
    <w:rsid w:val="00C80AFB"/>
    <w:rsid w:val="00C84897"/>
    <w:rsid w:val="00C858DC"/>
    <w:rsid w:val="00C868C5"/>
    <w:rsid w:val="00C90EC8"/>
    <w:rsid w:val="00C91F1E"/>
    <w:rsid w:val="00C94AA5"/>
    <w:rsid w:val="00C97772"/>
    <w:rsid w:val="00CB23BC"/>
    <w:rsid w:val="00CC0362"/>
    <w:rsid w:val="00CC18A1"/>
    <w:rsid w:val="00CC2423"/>
    <w:rsid w:val="00CC3AFE"/>
    <w:rsid w:val="00CC4211"/>
    <w:rsid w:val="00CC44F7"/>
    <w:rsid w:val="00CD165F"/>
    <w:rsid w:val="00CD2FEF"/>
    <w:rsid w:val="00CD5B3A"/>
    <w:rsid w:val="00CE1D45"/>
    <w:rsid w:val="00CE2287"/>
    <w:rsid w:val="00CE2342"/>
    <w:rsid w:val="00CE2D11"/>
    <w:rsid w:val="00CF2548"/>
    <w:rsid w:val="00CF5429"/>
    <w:rsid w:val="00CF7A89"/>
    <w:rsid w:val="00D00DE4"/>
    <w:rsid w:val="00D0108C"/>
    <w:rsid w:val="00D0640C"/>
    <w:rsid w:val="00D10BF0"/>
    <w:rsid w:val="00D11C9F"/>
    <w:rsid w:val="00D164C3"/>
    <w:rsid w:val="00D16F1F"/>
    <w:rsid w:val="00D1721C"/>
    <w:rsid w:val="00D25DA6"/>
    <w:rsid w:val="00D30AC5"/>
    <w:rsid w:val="00D316E0"/>
    <w:rsid w:val="00D31732"/>
    <w:rsid w:val="00D329DC"/>
    <w:rsid w:val="00D32AA1"/>
    <w:rsid w:val="00D343B8"/>
    <w:rsid w:val="00D34571"/>
    <w:rsid w:val="00D35E25"/>
    <w:rsid w:val="00D44760"/>
    <w:rsid w:val="00D46630"/>
    <w:rsid w:val="00D54524"/>
    <w:rsid w:val="00D549D1"/>
    <w:rsid w:val="00D55744"/>
    <w:rsid w:val="00D55DCB"/>
    <w:rsid w:val="00D57200"/>
    <w:rsid w:val="00D6063C"/>
    <w:rsid w:val="00D61029"/>
    <w:rsid w:val="00D6344F"/>
    <w:rsid w:val="00D64D64"/>
    <w:rsid w:val="00D70EC3"/>
    <w:rsid w:val="00D76E0A"/>
    <w:rsid w:val="00D8013A"/>
    <w:rsid w:val="00D818FA"/>
    <w:rsid w:val="00D81A27"/>
    <w:rsid w:val="00D83A2A"/>
    <w:rsid w:val="00D87086"/>
    <w:rsid w:val="00D87C04"/>
    <w:rsid w:val="00D91267"/>
    <w:rsid w:val="00D91EA2"/>
    <w:rsid w:val="00D926FA"/>
    <w:rsid w:val="00D957D0"/>
    <w:rsid w:val="00DA060D"/>
    <w:rsid w:val="00DA172A"/>
    <w:rsid w:val="00DA189F"/>
    <w:rsid w:val="00DA1B4A"/>
    <w:rsid w:val="00DA5764"/>
    <w:rsid w:val="00DA7684"/>
    <w:rsid w:val="00DA79E8"/>
    <w:rsid w:val="00DB0E47"/>
    <w:rsid w:val="00DB0EDC"/>
    <w:rsid w:val="00DB1D0E"/>
    <w:rsid w:val="00DB2205"/>
    <w:rsid w:val="00DB2E6B"/>
    <w:rsid w:val="00DB32D5"/>
    <w:rsid w:val="00DB3301"/>
    <w:rsid w:val="00DB3975"/>
    <w:rsid w:val="00DB3B94"/>
    <w:rsid w:val="00DB3D50"/>
    <w:rsid w:val="00DB68A5"/>
    <w:rsid w:val="00DC1697"/>
    <w:rsid w:val="00DC1923"/>
    <w:rsid w:val="00DC2757"/>
    <w:rsid w:val="00DD17D7"/>
    <w:rsid w:val="00DD2F98"/>
    <w:rsid w:val="00DD4A8C"/>
    <w:rsid w:val="00DD66B6"/>
    <w:rsid w:val="00DE315C"/>
    <w:rsid w:val="00DE393E"/>
    <w:rsid w:val="00DE48C3"/>
    <w:rsid w:val="00DE4B37"/>
    <w:rsid w:val="00DE4CA0"/>
    <w:rsid w:val="00DE515C"/>
    <w:rsid w:val="00DE7CD9"/>
    <w:rsid w:val="00DF038E"/>
    <w:rsid w:val="00DF1270"/>
    <w:rsid w:val="00DF5417"/>
    <w:rsid w:val="00DF5A32"/>
    <w:rsid w:val="00DF5BDA"/>
    <w:rsid w:val="00DF6214"/>
    <w:rsid w:val="00E00E56"/>
    <w:rsid w:val="00E05A1D"/>
    <w:rsid w:val="00E0754B"/>
    <w:rsid w:val="00E07CB5"/>
    <w:rsid w:val="00E108BC"/>
    <w:rsid w:val="00E112C7"/>
    <w:rsid w:val="00E1198B"/>
    <w:rsid w:val="00E12E74"/>
    <w:rsid w:val="00E14690"/>
    <w:rsid w:val="00E22155"/>
    <w:rsid w:val="00E229EC"/>
    <w:rsid w:val="00E2329C"/>
    <w:rsid w:val="00E23DE1"/>
    <w:rsid w:val="00E24745"/>
    <w:rsid w:val="00E2516A"/>
    <w:rsid w:val="00E25EA6"/>
    <w:rsid w:val="00E27BD3"/>
    <w:rsid w:val="00E3042B"/>
    <w:rsid w:val="00E31E13"/>
    <w:rsid w:val="00E35915"/>
    <w:rsid w:val="00E37D08"/>
    <w:rsid w:val="00E40660"/>
    <w:rsid w:val="00E416D1"/>
    <w:rsid w:val="00E426BF"/>
    <w:rsid w:val="00E434C7"/>
    <w:rsid w:val="00E43635"/>
    <w:rsid w:val="00E43C52"/>
    <w:rsid w:val="00E443EA"/>
    <w:rsid w:val="00E47417"/>
    <w:rsid w:val="00E47A7B"/>
    <w:rsid w:val="00E502FD"/>
    <w:rsid w:val="00E530F6"/>
    <w:rsid w:val="00E53496"/>
    <w:rsid w:val="00E56145"/>
    <w:rsid w:val="00E6169E"/>
    <w:rsid w:val="00E63552"/>
    <w:rsid w:val="00E63824"/>
    <w:rsid w:val="00E6385F"/>
    <w:rsid w:val="00E67B58"/>
    <w:rsid w:val="00E707EF"/>
    <w:rsid w:val="00E7165E"/>
    <w:rsid w:val="00E725D6"/>
    <w:rsid w:val="00E7288D"/>
    <w:rsid w:val="00E72AEB"/>
    <w:rsid w:val="00E737D3"/>
    <w:rsid w:val="00E7471E"/>
    <w:rsid w:val="00E82C2E"/>
    <w:rsid w:val="00E90D63"/>
    <w:rsid w:val="00E91179"/>
    <w:rsid w:val="00E92B14"/>
    <w:rsid w:val="00E937F3"/>
    <w:rsid w:val="00E94F9D"/>
    <w:rsid w:val="00E97276"/>
    <w:rsid w:val="00EA1334"/>
    <w:rsid w:val="00EA395C"/>
    <w:rsid w:val="00EA452A"/>
    <w:rsid w:val="00EA4D8A"/>
    <w:rsid w:val="00EA656B"/>
    <w:rsid w:val="00EA70E5"/>
    <w:rsid w:val="00EB03FA"/>
    <w:rsid w:val="00EB110C"/>
    <w:rsid w:val="00EB175D"/>
    <w:rsid w:val="00EB1AD1"/>
    <w:rsid w:val="00EB32B4"/>
    <w:rsid w:val="00EB3C62"/>
    <w:rsid w:val="00EB53C4"/>
    <w:rsid w:val="00EB609B"/>
    <w:rsid w:val="00EB670B"/>
    <w:rsid w:val="00EC3943"/>
    <w:rsid w:val="00EC5D8D"/>
    <w:rsid w:val="00EC6449"/>
    <w:rsid w:val="00ED1960"/>
    <w:rsid w:val="00ED1AD1"/>
    <w:rsid w:val="00ED2267"/>
    <w:rsid w:val="00ED3FB1"/>
    <w:rsid w:val="00ED676E"/>
    <w:rsid w:val="00ED75C2"/>
    <w:rsid w:val="00EE1AB6"/>
    <w:rsid w:val="00EE3C1D"/>
    <w:rsid w:val="00EE573C"/>
    <w:rsid w:val="00EE5DCD"/>
    <w:rsid w:val="00EE6C1A"/>
    <w:rsid w:val="00EE7601"/>
    <w:rsid w:val="00EF08BE"/>
    <w:rsid w:val="00EF0A6D"/>
    <w:rsid w:val="00EF0FC9"/>
    <w:rsid w:val="00EF1503"/>
    <w:rsid w:val="00EF18C1"/>
    <w:rsid w:val="00EF2D09"/>
    <w:rsid w:val="00EF32C0"/>
    <w:rsid w:val="00F00546"/>
    <w:rsid w:val="00F01695"/>
    <w:rsid w:val="00F05585"/>
    <w:rsid w:val="00F10A00"/>
    <w:rsid w:val="00F16727"/>
    <w:rsid w:val="00F16AC3"/>
    <w:rsid w:val="00F20E40"/>
    <w:rsid w:val="00F32D4D"/>
    <w:rsid w:val="00F33598"/>
    <w:rsid w:val="00F35C5D"/>
    <w:rsid w:val="00F3749F"/>
    <w:rsid w:val="00F37525"/>
    <w:rsid w:val="00F409AF"/>
    <w:rsid w:val="00F41DC5"/>
    <w:rsid w:val="00F422A7"/>
    <w:rsid w:val="00F42479"/>
    <w:rsid w:val="00F45B9A"/>
    <w:rsid w:val="00F46096"/>
    <w:rsid w:val="00F46538"/>
    <w:rsid w:val="00F54285"/>
    <w:rsid w:val="00F55FB4"/>
    <w:rsid w:val="00F62EFC"/>
    <w:rsid w:val="00F662B7"/>
    <w:rsid w:val="00F72CF3"/>
    <w:rsid w:val="00F737F4"/>
    <w:rsid w:val="00F775F4"/>
    <w:rsid w:val="00F8253A"/>
    <w:rsid w:val="00F825BD"/>
    <w:rsid w:val="00F84C11"/>
    <w:rsid w:val="00F85DE2"/>
    <w:rsid w:val="00F86363"/>
    <w:rsid w:val="00F93BC9"/>
    <w:rsid w:val="00F95FB4"/>
    <w:rsid w:val="00F97F87"/>
    <w:rsid w:val="00FA141C"/>
    <w:rsid w:val="00FA3B86"/>
    <w:rsid w:val="00FA4D2F"/>
    <w:rsid w:val="00FB670E"/>
    <w:rsid w:val="00FB729A"/>
    <w:rsid w:val="00FC2FD5"/>
    <w:rsid w:val="00FC31A1"/>
    <w:rsid w:val="00FC62AE"/>
    <w:rsid w:val="00FC7D62"/>
    <w:rsid w:val="00FC7F1F"/>
    <w:rsid w:val="00FD1544"/>
    <w:rsid w:val="00FD2863"/>
    <w:rsid w:val="00FD4515"/>
    <w:rsid w:val="00FD7A55"/>
    <w:rsid w:val="00FE1F19"/>
    <w:rsid w:val="00FE5ED2"/>
    <w:rsid w:val="00FF1260"/>
    <w:rsid w:val="00FF1745"/>
    <w:rsid w:val="00FF181C"/>
    <w:rsid w:val="00FF5EC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453"/>
    <w:pPr>
      <w:tabs>
        <w:tab w:val="left" w:pos="397"/>
      </w:tabs>
      <w:spacing w:line="360" w:lineRule="auto"/>
      <w:jc w:val="both"/>
    </w:pPr>
    <w:rPr>
      <w:rFonts w:ascii="Cambria" w:hAnsi="Cambria"/>
      <w:sz w:val="23"/>
      <w:lang w:val="el-GR" w:eastAsia="el-GR"/>
    </w:rPr>
  </w:style>
  <w:style w:type="paragraph" w:styleId="Heading1">
    <w:name w:val="heading 1"/>
    <w:basedOn w:val="Normal"/>
    <w:next w:val="Normal"/>
    <w:link w:val="Heading1Char"/>
    <w:uiPriority w:val="99"/>
    <w:qFormat/>
    <w:rsid w:val="00273453"/>
    <w:pPr>
      <w:keepNext/>
      <w:keepLines/>
      <w:spacing w:after="120" w:line="240" w:lineRule="auto"/>
      <w:outlineLvl w:val="0"/>
    </w:pPr>
    <w:rPr>
      <w:b/>
      <w:bCs/>
      <w:szCs w:val="28"/>
    </w:rPr>
  </w:style>
  <w:style w:type="paragraph" w:styleId="Heading2">
    <w:name w:val="heading 2"/>
    <w:basedOn w:val="Normal"/>
    <w:next w:val="Normal"/>
    <w:link w:val="Heading2Char"/>
    <w:uiPriority w:val="99"/>
    <w:qFormat/>
    <w:rsid w:val="00712F5A"/>
    <w:pPr>
      <w:keepNext/>
      <w:keepLines/>
      <w:spacing w:before="200"/>
      <w:outlineLvl w:val="1"/>
    </w:pPr>
    <w:rPr>
      <w:b/>
      <w:bCs/>
      <w:color w:val="4F81BD"/>
      <w:sz w:val="26"/>
      <w:szCs w:val="26"/>
    </w:rPr>
  </w:style>
  <w:style w:type="paragraph" w:styleId="Heading3">
    <w:name w:val="heading 3"/>
    <w:basedOn w:val="Normal"/>
    <w:next w:val="Normal"/>
    <w:link w:val="Heading3Char"/>
    <w:uiPriority w:val="99"/>
    <w:qFormat/>
    <w:rsid w:val="007830FC"/>
    <w:pPr>
      <w:keepNext/>
      <w:keepLines/>
      <w:spacing w:before="200"/>
      <w:outlineLvl w:val="2"/>
    </w:pPr>
    <w:rPr>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73453"/>
    <w:rPr>
      <w:rFonts w:ascii="Cambria" w:hAnsi="Cambria" w:cs="Times New Roman"/>
      <w:b/>
      <w:bCs/>
      <w:sz w:val="28"/>
      <w:szCs w:val="28"/>
    </w:rPr>
  </w:style>
  <w:style w:type="character" w:customStyle="1" w:styleId="Heading2Char">
    <w:name w:val="Heading 2 Char"/>
    <w:basedOn w:val="DefaultParagraphFont"/>
    <w:link w:val="Heading2"/>
    <w:uiPriority w:val="99"/>
    <w:semiHidden/>
    <w:locked/>
    <w:rsid w:val="00712F5A"/>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7830FC"/>
    <w:rPr>
      <w:rFonts w:ascii="Cambria" w:hAnsi="Cambria" w:cs="Times New Roman"/>
      <w:b/>
      <w:bCs/>
      <w:color w:val="4F81BD"/>
    </w:rPr>
  </w:style>
  <w:style w:type="paragraph" w:styleId="ListParagraph">
    <w:name w:val="List Paragraph"/>
    <w:basedOn w:val="Normal"/>
    <w:uiPriority w:val="99"/>
    <w:qFormat/>
    <w:rsid w:val="00044BC9"/>
    <w:pPr>
      <w:ind w:left="720"/>
      <w:contextualSpacing/>
    </w:pPr>
  </w:style>
  <w:style w:type="paragraph" w:styleId="TOC1">
    <w:name w:val="toc 1"/>
    <w:basedOn w:val="Normal"/>
    <w:next w:val="Normal"/>
    <w:autoRedefine/>
    <w:uiPriority w:val="99"/>
    <w:rsid w:val="001B60AC"/>
    <w:pPr>
      <w:tabs>
        <w:tab w:val="left" w:pos="-709"/>
        <w:tab w:val="left" w:pos="284"/>
        <w:tab w:val="right" w:leader="dot" w:pos="8789"/>
      </w:tabs>
      <w:spacing w:line="240" w:lineRule="auto"/>
    </w:pPr>
    <w:rPr>
      <w:sz w:val="20"/>
    </w:rPr>
  </w:style>
  <w:style w:type="character" w:styleId="Hyperlink">
    <w:name w:val="Hyperlink"/>
    <w:basedOn w:val="DefaultParagraphFont"/>
    <w:uiPriority w:val="99"/>
    <w:rsid w:val="00712F5A"/>
    <w:rPr>
      <w:rFonts w:cs="Times New Roman"/>
      <w:color w:val="0000FF"/>
      <w:u w:val="single"/>
    </w:rPr>
  </w:style>
  <w:style w:type="table" w:styleId="TableGrid">
    <w:name w:val="Table Grid"/>
    <w:basedOn w:val="TableNormal"/>
    <w:uiPriority w:val="99"/>
    <w:rsid w:val="00C679B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A5CC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A5CC7"/>
    <w:rPr>
      <w:rFonts w:ascii="Tahoma" w:hAnsi="Tahoma" w:cs="Tahoma"/>
      <w:sz w:val="16"/>
      <w:szCs w:val="16"/>
    </w:rPr>
  </w:style>
  <w:style w:type="paragraph" w:styleId="FootnoteText">
    <w:name w:val="footnote text"/>
    <w:basedOn w:val="Normal"/>
    <w:link w:val="FootnoteTextChar"/>
    <w:uiPriority w:val="99"/>
    <w:rsid w:val="006E0DF4"/>
    <w:pPr>
      <w:spacing w:line="240" w:lineRule="auto"/>
    </w:pPr>
    <w:rPr>
      <w:sz w:val="20"/>
      <w:szCs w:val="20"/>
    </w:rPr>
  </w:style>
  <w:style w:type="character" w:customStyle="1" w:styleId="FootnoteTextChar">
    <w:name w:val="Footnote Text Char"/>
    <w:basedOn w:val="DefaultParagraphFont"/>
    <w:link w:val="FootnoteText"/>
    <w:uiPriority w:val="99"/>
    <w:locked/>
    <w:rsid w:val="006E0DF4"/>
    <w:rPr>
      <w:rFonts w:ascii="Cambria" w:hAnsi="Cambria" w:cs="Times New Roman"/>
      <w:sz w:val="20"/>
      <w:szCs w:val="20"/>
    </w:rPr>
  </w:style>
  <w:style w:type="character" w:styleId="FootnoteReference">
    <w:name w:val="footnote reference"/>
    <w:basedOn w:val="DefaultParagraphFont"/>
    <w:uiPriority w:val="99"/>
    <w:semiHidden/>
    <w:rsid w:val="006E0DF4"/>
    <w:rPr>
      <w:rFonts w:cs="Times New Roman"/>
      <w:vertAlign w:val="superscript"/>
    </w:rPr>
  </w:style>
  <w:style w:type="character" w:styleId="FollowedHyperlink">
    <w:name w:val="FollowedHyperlink"/>
    <w:basedOn w:val="DefaultParagraphFont"/>
    <w:uiPriority w:val="99"/>
    <w:semiHidden/>
    <w:rsid w:val="00D343B8"/>
    <w:rPr>
      <w:rFonts w:cs="Times New Roman"/>
      <w:color w:val="800080"/>
      <w:u w:val="single"/>
    </w:rPr>
  </w:style>
  <w:style w:type="paragraph" w:styleId="DocumentMap">
    <w:name w:val="Document Map"/>
    <w:basedOn w:val="Normal"/>
    <w:link w:val="DocumentMapChar"/>
    <w:uiPriority w:val="99"/>
    <w:semiHidden/>
    <w:rsid w:val="00D343B8"/>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D343B8"/>
    <w:rPr>
      <w:rFonts w:ascii="Tahoma" w:hAnsi="Tahoma" w:cs="Tahoma"/>
      <w:sz w:val="16"/>
      <w:szCs w:val="16"/>
    </w:rPr>
  </w:style>
  <w:style w:type="character" w:styleId="CommentReference">
    <w:name w:val="annotation reference"/>
    <w:basedOn w:val="DefaultParagraphFont"/>
    <w:uiPriority w:val="99"/>
    <w:semiHidden/>
    <w:rsid w:val="00BA714B"/>
    <w:rPr>
      <w:rFonts w:cs="Times New Roman"/>
      <w:sz w:val="16"/>
      <w:szCs w:val="16"/>
    </w:rPr>
  </w:style>
  <w:style w:type="paragraph" w:styleId="CommentText">
    <w:name w:val="annotation text"/>
    <w:basedOn w:val="Normal"/>
    <w:link w:val="CommentTextChar"/>
    <w:uiPriority w:val="99"/>
    <w:semiHidden/>
    <w:rsid w:val="00BA714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BA714B"/>
    <w:rPr>
      <w:rFonts w:ascii="Cambria" w:hAnsi="Cambria" w:cs="Times New Roman"/>
      <w:sz w:val="20"/>
      <w:szCs w:val="20"/>
    </w:rPr>
  </w:style>
  <w:style w:type="paragraph" w:styleId="CommentSubject">
    <w:name w:val="annotation subject"/>
    <w:basedOn w:val="CommentText"/>
    <w:next w:val="CommentText"/>
    <w:link w:val="CommentSubjectChar"/>
    <w:uiPriority w:val="99"/>
    <w:semiHidden/>
    <w:rsid w:val="00BA714B"/>
    <w:rPr>
      <w:b/>
      <w:bCs/>
    </w:rPr>
  </w:style>
  <w:style w:type="character" w:customStyle="1" w:styleId="CommentSubjectChar">
    <w:name w:val="Comment Subject Char"/>
    <w:basedOn w:val="CommentTextChar"/>
    <w:link w:val="CommentSubject"/>
    <w:uiPriority w:val="99"/>
    <w:semiHidden/>
    <w:locked/>
    <w:rsid w:val="00BA714B"/>
    <w:rPr>
      <w:b/>
      <w:bCs/>
    </w:rPr>
  </w:style>
  <w:style w:type="paragraph" w:styleId="List">
    <w:name w:val="List"/>
    <w:basedOn w:val="Normal"/>
    <w:uiPriority w:val="99"/>
    <w:rsid w:val="007830FC"/>
    <w:pPr>
      <w:ind w:left="283" w:hanging="283"/>
      <w:contextualSpacing/>
    </w:pPr>
  </w:style>
  <w:style w:type="paragraph" w:styleId="ListBullet2">
    <w:name w:val="List Bullet 2"/>
    <w:basedOn w:val="Normal"/>
    <w:uiPriority w:val="99"/>
    <w:rsid w:val="007830FC"/>
    <w:pPr>
      <w:numPr>
        <w:numId w:val="8"/>
      </w:numPr>
      <w:tabs>
        <w:tab w:val="num" w:pos="643"/>
      </w:tabs>
      <w:ind w:left="643"/>
      <w:contextualSpacing/>
    </w:pPr>
  </w:style>
  <w:style w:type="paragraph" w:styleId="Title">
    <w:name w:val="Title"/>
    <w:basedOn w:val="Normal"/>
    <w:next w:val="Normal"/>
    <w:link w:val="TitleChar"/>
    <w:uiPriority w:val="99"/>
    <w:qFormat/>
    <w:rsid w:val="007830FC"/>
    <w:pPr>
      <w:pBdr>
        <w:bottom w:val="single" w:sz="8" w:space="4" w:color="4F81BD"/>
      </w:pBdr>
      <w:spacing w:after="300" w:line="240" w:lineRule="auto"/>
      <w:contextualSpacing/>
    </w:pPr>
    <w:rPr>
      <w:color w:val="17365D"/>
      <w:spacing w:val="5"/>
      <w:kern w:val="28"/>
      <w:sz w:val="52"/>
      <w:szCs w:val="52"/>
    </w:rPr>
  </w:style>
  <w:style w:type="character" w:customStyle="1" w:styleId="TitleChar">
    <w:name w:val="Title Char"/>
    <w:basedOn w:val="DefaultParagraphFont"/>
    <w:link w:val="Title"/>
    <w:uiPriority w:val="99"/>
    <w:locked/>
    <w:rsid w:val="007830FC"/>
    <w:rPr>
      <w:rFonts w:ascii="Cambria" w:hAnsi="Cambria" w:cs="Times New Roman"/>
      <w:color w:val="17365D"/>
      <w:spacing w:val="5"/>
      <w:kern w:val="28"/>
      <w:sz w:val="52"/>
      <w:szCs w:val="52"/>
    </w:rPr>
  </w:style>
  <w:style w:type="paragraph" w:styleId="BodyText">
    <w:name w:val="Body Text"/>
    <w:basedOn w:val="Normal"/>
    <w:link w:val="BodyTextChar"/>
    <w:uiPriority w:val="99"/>
    <w:rsid w:val="007830FC"/>
    <w:pPr>
      <w:spacing w:after="120"/>
    </w:pPr>
  </w:style>
  <w:style w:type="character" w:customStyle="1" w:styleId="BodyTextChar">
    <w:name w:val="Body Text Char"/>
    <w:basedOn w:val="DefaultParagraphFont"/>
    <w:link w:val="BodyText"/>
    <w:uiPriority w:val="99"/>
    <w:locked/>
    <w:rsid w:val="007830FC"/>
    <w:rPr>
      <w:rFonts w:ascii="Cambria" w:hAnsi="Cambria" w:cs="Times New Roman"/>
    </w:rPr>
  </w:style>
  <w:style w:type="paragraph" w:styleId="Subtitle">
    <w:name w:val="Subtitle"/>
    <w:basedOn w:val="Normal"/>
    <w:next w:val="Normal"/>
    <w:link w:val="SubtitleChar"/>
    <w:uiPriority w:val="99"/>
    <w:qFormat/>
    <w:rsid w:val="007830FC"/>
    <w:pPr>
      <w:numPr>
        <w:ilvl w:val="1"/>
      </w:numPr>
    </w:pPr>
    <w:rPr>
      <w:i/>
      <w:iCs/>
      <w:color w:val="4F81BD"/>
      <w:spacing w:val="15"/>
      <w:sz w:val="24"/>
      <w:szCs w:val="24"/>
    </w:rPr>
  </w:style>
  <w:style w:type="character" w:customStyle="1" w:styleId="SubtitleChar">
    <w:name w:val="Subtitle Char"/>
    <w:basedOn w:val="DefaultParagraphFont"/>
    <w:link w:val="Subtitle"/>
    <w:uiPriority w:val="99"/>
    <w:locked/>
    <w:rsid w:val="007830FC"/>
    <w:rPr>
      <w:rFonts w:ascii="Cambria" w:hAnsi="Cambria" w:cs="Times New Roman"/>
      <w:i/>
      <w:iCs/>
      <w:color w:val="4F81BD"/>
      <w:spacing w:val="15"/>
      <w:sz w:val="24"/>
      <w:szCs w:val="24"/>
    </w:rPr>
  </w:style>
  <w:style w:type="paragraph" w:styleId="BodyTextFirstIndent">
    <w:name w:val="Body Text First Indent"/>
    <w:basedOn w:val="BodyText"/>
    <w:link w:val="BodyTextFirstIndentChar"/>
    <w:uiPriority w:val="99"/>
    <w:rsid w:val="007830FC"/>
    <w:pPr>
      <w:spacing w:after="0"/>
      <w:ind w:firstLine="360"/>
    </w:pPr>
  </w:style>
  <w:style w:type="character" w:customStyle="1" w:styleId="BodyTextFirstIndentChar">
    <w:name w:val="Body Text First Indent Char"/>
    <w:basedOn w:val="BodyTextChar"/>
    <w:link w:val="BodyTextFirstIndent"/>
    <w:uiPriority w:val="99"/>
    <w:locked/>
    <w:rsid w:val="007830FC"/>
  </w:style>
  <w:style w:type="paragraph" w:styleId="Bibliography">
    <w:name w:val="Bibliography"/>
    <w:basedOn w:val="Normal"/>
    <w:next w:val="Normal"/>
    <w:uiPriority w:val="99"/>
    <w:rsid w:val="004602EB"/>
    <w:pPr>
      <w:spacing w:line="240" w:lineRule="auto"/>
      <w:ind w:left="567" w:hanging="567"/>
    </w:pPr>
  </w:style>
  <w:style w:type="paragraph" w:styleId="Header">
    <w:name w:val="header"/>
    <w:basedOn w:val="Normal"/>
    <w:link w:val="HeaderChar"/>
    <w:uiPriority w:val="99"/>
    <w:semiHidden/>
    <w:rsid w:val="0098615B"/>
    <w:pPr>
      <w:tabs>
        <w:tab w:val="clear" w:pos="397"/>
        <w:tab w:val="center" w:pos="4153"/>
        <w:tab w:val="right" w:pos="8306"/>
      </w:tabs>
      <w:spacing w:line="240" w:lineRule="auto"/>
    </w:pPr>
  </w:style>
  <w:style w:type="character" w:customStyle="1" w:styleId="HeaderChar">
    <w:name w:val="Header Char"/>
    <w:basedOn w:val="DefaultParagraphFont"/>
    <w:link w:val="Header"/>
    <w:uiPriority w:val="99"/>
    <w:semiHidden/>
    <w:locked/>
    <w:rsid w:val="0098615B"/>
    <w:rPr>
      <w:rFonts w:ascii="Cambria" w:hAnsi="Cambria" w:cs="Times New Roman"/>
    </w:rPr>
  </w:style>
  <w:style w:type="paragraph" w:styleId="Footer">
    <w:name w:val="footer"/>
    <w:basedOn w:val="Normal"/>
    <w:link w:val="FooterChar"/>
    <w:uiPriority w:val="99"/>
    <w:rsid w:val="0098615B"/>
    <w:pPr>
      <w:tabs>
        <w:tab w:val="clear" w:pos="397"/>
        <w:tab w:val="center" w:pos="4153"/>
        <w:tab w:val="right" w:pos="8306"/>
      </w:tabs>
      <w:spacing w:line="240" w:lineRule="auto"/>
    </w:pPr>
  </w:style>
  <w:style w:type="character" w:customStyle="1" w:styleId="FooterChar">
    <w:name w:val="Footer Char"/>
    <w:basedOn w:val="DefaultParagraphFont"/>
    <w:link w:val="Footer"/>
    <w:uiPriority w:val="99"/>
    <w:locked/>
    <w:rsid w:val="0098615B"/>
    <w:rPr>
      <w:rFonts w:ascii="Cambria" w:hAnsi="Cambria" w:cs="Times New Roman"/>
    </w:rPr>
  </w:style>
  <w:style w:type="paragraph" w:styleId="Caption">
    <w:name w:val="caption"/>
    <w:basedOn w:val="Normal"/>
    <w:next w:val="Normal"/>
    <w:uiPriority w:val="99"/>
    <w:qFormat/>
    <w:rsid w:val="0052583C"/>
    <w:pPr>
      <w:spacing w:after="40" w:line="240" w:lineRule="auto"/>
    </w:pPr>
    <w:rPr>
      <w:b/>
      <w:bCs/>
      <w:sz w:val="20"/>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21</Pages>
  <Words>7882</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«Ευρωπαϊκή ολοκλήρωση και ελληνική διοίκηση: </dc:title>
  <dc:subject/>
  <dc:creator>giorgio</dc:creator>
  <cp:keywords/>
  <dc:description/>
  <cp:lastModifiedBy>user</cp:lastModifiedBy>
  <cp:revision>2</cp:revision>
  <cp:lastPrinted>2015-08-19T10:22:00Z</cp:lastPrinted>
  <dcterms:created xsi:type="dcterms:W3CDTF">2019-04-13T23:04:00Z</dcterms:created>
  <dcterms:modified xsi:type="dcterms:W3CDTF">2019-04-13T23:04:00Z</dcterms:modified>
</cp:coreProperties>
</file>