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45B8" w14:textId="34796AAD" w:rsidR="00481CD2" w:rsidRPr="00B20FAC" w:rsidRDefault="001E18DD"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u w:val="single"/>
          <w:lang w:val="el-GR" w:eastAsia="en-GB"/>
        </w:rPr>
        <w:t>Ν. 3852/2010 ΚΑΛΛΙΚΡΑΤΗΣ</w:t>
      </w:r>
      <w:r w:rsidRPr="00B20FAC">
        <w:rPr>
          <w:rFonts w:ascii="Verdana" w:eastAsia="Times New Roman" w:hAnsi="Verdana" w:cs="Arial"/>
          <w:b/>
          <w:bCs/>
          <w:lang w:val="el-GR" w:eastAsia="en-GB"/>
        </w:rPr>
        <w:t xml:space="preserve"> </w:t>
      </w:r>
      <w:r w:rsidRPr="00B20FAC">
        <w:rPr>
          <w:rFonts w:ascii="Verdana" w:eastAsia="Times New Roman" w:hAnsi="Verdana" w:cs="Arial"/>
          <w:b/>
          <w:bCs/>
          <w:sz w:val="20"/>
          <w:szCs w:val="20"/>
          <w:lang w:val="el-GR" w:eastAsia="en-GB"/>
        </w:rPr>
        <w:t xml:space="preserve">όπως ΙΣΧΥΕΙ </w:t>
      </w:r>
      <w:r w:rsidR="00481CD2" w:rsidRPr="00B20FAC">
        <w:rPr>
          <w:rFonts w:ascii="Verdana" w:eastAsia="Times New Roman" w:hAnsi="Verdana" w:cs="Arial"/>
          <w:b/>
          <w:bCs/>
          <w:sz w:val="20"/>
          <w:szCs w:val="20"/>
          <w:lang w:eastAsia="en-GB"/>
        </w:rPr>
        <w:t> </w:t>
      </w:r>
    </w:p>
    <w:p w14:paraId="70694AD1" w14:textId="639836F7"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Arial" w:eastAsia="Times New Roman" w:hAnsi="Arial" w:cs="Arial"/>
          <w:sz w:val="20"/>
          <w:szCs w:val="20"/>
          <w:lang w:eastAsia="en-GB"/>
        </w:rPr>
        <w:t> </w:t>
      </w:r>
      <w:r w:rsidRPr="00B20FAC">
        <w:rPr>
          <w:rFonts w:ascii="Verdana" w:eastAsia="Times New Roman" w:hAnsi="Verdana" w:cs="Arial"/>
          <w:b/>
          <w:bCs/>
          <w:sz w:val="20"/>
          <w:szCs w:val="20"/>
          <w:lang w:val="el-GR" w:eastAsia="en-GB"/>
        </w:rPr>
        <w:t>Άρθρο 214</w:t>
      </w:r>
    </w:p>
    <w:p w14:paraId="12682E70"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Αρχές - έκταση και περιεχόμενο της κρατικής εποπτείας</w:t>
      </w:r>
    </w:p>
    <w:p w14:paraId="41CA3190"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Το κράτος ασκεί στους Ο.Τ.Α. και στα νομικά πρόσωπα αυτών εποπτεία, που συνίσταται αποκλειστικά σε έλεγχο νομιμότητας και δεν επιτρέπεται να εμποδίζει την πρωτοβουλία και την ελεύθερη δράση τους ούτε να υπεισέρχεται σε κρίσεις για τη σκοπιμότητα της δράσης τους ή να θίγει τη διοικητική και οικονομική τους αυτοτέλεια. Ειδικότερα η κρατική εποπτεία των Ο.Τ.Α. συνίσταται: (α) σε έλεγχο των πράξεων (έλεγχος νομιμότητας) και (β) σε έλεγχο των προσώπων (πειθαρχικός έλεγχος των αιρετών).</w:t>
      </w:r>
    </w:p>
    <w:p w14:paraId="04DC47F8"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Το Υπουργείο Εσωτερικών στα θέματα της Τοπικής Αυτοδιοίκησης μπορεί να εκδίδει εγκύκλιες οδηγίες για την ορθή και ομοιόμορφη εφαρμογή της εκάστοτε ισχύουσας θεσμικής νομοθεσίας περί Ο.Τ.Α. και της νομοθεσίας σχετικά με την οργάνωση, τη συγκρότηση και τη λειτουργία των οργάνων τους, του προσωπικού, καθώς και των οικονομικών τους.</w:t>
      </w:r>
    </w:p>
    <w:p w14:paraId="25429725" w14:textId="441CEA3A" w:rsidR="009329FC" w:rsidRPr="00B20FAC" w:rsidRDefault="00481CD2" w:rsidP="00B20FAC">
      <w:pPr>
        <w:shd w:val="clear" w:color="auto" w:fill="FFFFFF"/>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3. Ως προς το περιεχόμενο και τον τρόπο άσκησης επιμέρους αρμοδιοτήτων, καθώς και την ερμηνεία και εφαρμογή του εκάστοτε ειδικού θεσμικού πλαισίου, αρμόδιος είναι ο κατά περίπτωση καθ’ ύλην αρμόδιος δημόσιος φορέας, ο οποίος δεν αποξενώνεται από τη συγκεκριμένη αρμοδιότητά του, λόγω της άσκησης αυτής από τους Ο.Τ.Α.</w:t>
      </w:r>
      <w:r w:rsidRPr="00B20FAC">
        <w:rPr>
          <w:rFonts w:ascii="Verdana" w:eastAsia="Times New Roman" w:hAnsi="Verdana" w:cs="Arial"/>
          <w:sz w:val="20"/>
          <w:szCs w:val="20"/>
          <w:lang w:eastAsia="en-GB"/>
        </w:rPr>
        <w:t> </w:t>
      </w:r>
    </w:p>
    <w:p w14:paraId="45CF6E09" w14:textId="4A2F2AC5" w:rsidR="00481CD2" w:rsidRPr="00B20FAC" w:rsidRDefault="009329FC"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u w:val="single"/>
          <w:lang w:val="el-GR" w:eastAsia="en-GB"/>
        </w:rPr>
        <w:t>«</w:t>
      </w:r>
      <w:r w:rsidR="00481CD2" w:rsidRPr="00B20FAC">
        <w:rPr>
          <w:rFonts w:ascii="Verdana" w:eastAsia="Times New Roman" w:hAnsi="Verdana" w:cs="Arial"/>
          <w:b/>
          <w:bCs/>
          <w:sz w:val="20"/>
          <w:szCs w:val="20"/>
          <w:u w:val="single"/>
          <w:lang w:val="el-GR" w:eastAsia="en-GB"/>
        </w:rPr>
        <w:t>Με παρ. 3 του άρθρου</w:t>
      </w:r>
      <w:r w:rsidR="00481CD2" w:rsidRPr="00B20FAC">
        <w:rPr>
          <w:rFonts w:ascii="Verdana" w:eastAsia="Times New Roman" w:hAnsi="Verdana" w:cs="Arial"/>
          <w:b/>
          <w:bCs/>
          <w:sz w:val="20"/>
          <w:szCs w:val="20"/>
          <w:u w:val="single"/>
          <w:lang w:eastAsia="en-GB"/>
        </w:rPr>
        <w:t> </w:t>
      </w:r>
      <w:hyperlink r:id="rId6" w:tgtFrame="_blank" w:history="1">
        <w:r w:rsidR="00481CD2" w:rsidRPr="00B20FAC">
          <w:rPr>
            <w:rFonts w:ascii="Verdana" w:eastAsia="Times New Roman" w:hAnsi="Verdana" w:cs="Arial"/>
            <w:b/>
            <w:bCs/>
            <w:sz w:val="20"/>
            <w:szCs w:val="20"/>
            <w:u w:val="single"/>
            <w:lang w:val="el-GR" w:eastAsia="en-GB"/>
          </w:rPr>
          <w:t>132</w:t>
        </w:r>
      </w:hyperlink>
      <w:r w:rsidR="00481CD2" w:rsidRPr="00B20FAC">
        <w:rPr>
          <w:rFonts w:ascii="Verdana" w:eastAsia="Times New Roman" w:hAnsi="Verdana" w:cs="Arial"/>
          <w:b/>
          <w:bCs/>
          <w:sz w:val="20"/>
          <w:szCs w:val="20"/>
          <w:u w:val="single"/>
          <w:lang w:eastAsia="en-GB"/>
        </w:rPr>
        <w:t> </w:t>
      </w:r>
      <w:hyperlink r:id="rId7" w:tgtFrame="_blank" w:history="1">
        <w:r w:rsidR="00481CD2" w:rsidRPr="00B20FAC">
          <w:rPr>
            <w:rFonts w:ascii="Verdana" w:eastAsia="Times New Roman" w:hAnsi="Verdana" w:cs="Arial"/>
            <w:b/>
            <w:bCs/>
            <w:sz w:val="20"/>
            <w:szCs w:val="20"/>
            <w:u w:val="single"/>
            <w:lang w:val="el-GR" w:eastAsia="en-GB"/>
          </w:rPr>
          <w:t>του Ν. 4555/18</w:t>
        </w:r>
      </w:hyperlink>
      <w:r w:rsidR="00481CD2" w:rsidRPr="00B20FAC">
        <w:rPr>
          <w:rFonts w:ascii="Verdana" w:eastAsia="Times New Roman" w:hAnsi="Verdana" w:cs="Arial"/>
          <w:b/>
          <w:bCs/>
          <w:sz w:val="20"/>
          <w:szCs w:val="20"/>
          <w:u w:val="single"/>
          <w:lang w:val="el-GR" w:eastAsia="en-GB"/>
        </w:rPr>
        <w:t>, ΦΕΚ-133 Α/19-7-18, ορίζεται ότι :</w:t>
      </w:r>
      <w:r w:rsidR="00481CD2" w:rsidRPr="00B20FAC">
        <w:rPr>
          <w:rFonts w:ascii="Verdana" w:eastAsia="Times New Roman" w:hAnsi="Verdana" w:cs="Arial"/>
          <w:sz w:val="20"/>
          <w:szCs w:val="20"/>
          <w:lang w:eastAsia="en-GB"/>
        </w:rPr>
        <w:t> </w:t>
      </w:r>
      <w:r w:rsidR="00481CD2" w:rsidRPr="00B20FAC">
        <w:rPr>
          <w:rFonts w:ascii="Verdana" w:eastAsia="Times New Roman" w:hAnsi="Verdana" w:cs="Arial"/>
          <w:sz w:val="20"/>
          <w:szCs w:val="20"/>
          <w:lang w:val="el-GR" w:eastAsia="en-GB"/>
        </w:rPr>
        <w:t>“5. Μέχρι την έναρξη λειτουργίας της Αυτοτελούς Υπηρεσίας Εποπτείας Ο.Τ.Α. όπου στα άρθρα 128, 129 και 130 του παρόντος αναφέρεται Επόπτης Ο.Τ.Α., νοείται ο Συντονιστής της οικείας Αποκεντρωμένης Διοίκησης’).</w:t>
      </w:r>
    </w:p>
    <w:p w14:paraId="70B511A6" w14:textId="77777777"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bookmarkStart w:id="0" w:name="ΑΡΘΡΟ0224___0224___"/>
      <w:bookmarkEnd w:id="0"/>
      <w:r w:rsidRPr="00B20FAC">
        <w:rPr>
          <w:rFonts w:ascii="Verdana" w:eastAsia="Times New Roman" w:hAnsi="Verdana" w:cs="Arial"/>
          <w:b/>
          <w:bCs/>
          <w:sz w:val="20"/>
          <w:szCs w:val="20"/>
          <w:lang w:val="el-GR" w:eastAsia="en-GB"/>
        </w:rPr>
        <w:t>Άρθρο 224</w:t>
      </w:r>
    </w:p>
    <w:p w14:paraId="6D730171" w14:textId="77777777"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Εκτελεστότητα των πράξεων</w:t>
      </w:r>
    </w:p>
    <w:p w14:paraId="700B3ADE" w14:textId="77777777"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Οι αποφάσεις των συλλογικών και μονομελών οργάνων των δήμων και των περιφερειών και των νομικών προσώπων δημοσίου δικαίου αυτών είναι εκτελεστές αφότου εκδοθούν, με την επιφύλαξη των διατάξεων του άρθρου 228 του παρόντος.</w:t>
      </w:r>
    </w:p>
    <w:p w14:paraId="79DE495C" w14:textId="77777777"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w:t>
      </w:r>
      <w:r w:rsidRPr="00B20FAC">
        <w:rPr>
          <w:rFonts w:ascii="Verdana" w:eastAsia="Times New Roman" w:hAnsi="Verdana" w:cs="Arial"/>
          <w:b/>
          <w:bCs/>
          <w:sz w:val="20"/>
          <w:szCs w:val="20"/>
          <w:u w:val="single"/>
          <w:lang w:val="el-GR" w:eastAsia="en-GB"/>
        </w:rPr>
        <w:t>Με την παρ. 3 του άρθρου</w:t>
      </w:r>
      <w:r w:rsidRPr="00B20FAC">
        <w:rPr>
          <w:rFonts w:ascii="Verdana" w:eastAsia="Times New Roman" w:hAnsi="Verdana" w:cs="Arial"/>
          <w:b/>
          <w:bCs/>
          <w:sz w:val="20"/>
          <w:szCs w:val="20"/>
          <w:u w:val="single"/>
          <w:lang w:eastAsia="en-GB"/>
        </w:rPr>
        <w:t> </w:t>
      </w:r>
      <w:hyperlink r:id="rId8" w:tgtFrame="_blank" w:history="1">
        <w:r w:rsidRPr="00B20FAC">
          <w:rPr>
            <w:rFonts w:ascii="Verdana" w:eastAsia="Times New Roman" w:hAnsi="Verdana" w:cs="Arial"/>
            <w:b/>
            <w:bCs/>
            <w:sz w:val="20"/>
            <w:szCs w:val="20"/>
            <w:u w:val="single"/>
            <w:lang w:val="el-GR" w:eastAsia="en-GB"/>
          </w:rPr>
          <w:t>203</w:t>
        </w:r>
      </w:hyperlink>
      <w:r w:rsidRPr="00B20FAC">
        <w:rPr>
          <w:rFonts w:ascii="Verdana" w:eastAsia="Times New Roman" w:hAnsi="Verdana" w:cs="Arial"/>
          <w:b/>
          <w:bCs/>
          <w:sz w:val="20"/>
          <w:szCs w:val="20"/>
          <w:u w:val="single"/>
          <w:lang w:eastAsia="en-GB"/>
        </w:rPr>
        <w:t> </w:t>
      </w:r>
      <w:hyperlink r:id="rId9" w:tgtFrame="_blank" w:history="1">
        <w:r w:rsidRPr="00B20FAC">
          <w:rPr>
            <w:rFonts w:ascii="Verdana" w:eastAsia="Times New Roman" w:hAnsi="Verdana" w:cs="Arial"/>
            <w:b/>
            <w:bCs/>
            <w:sz w:val="20"/>
            <w:szCs w:val="20"/>
            <w:u w:val="single"/>
            <w:lang w:val="el-GR" w:eastAsia="en-GB"/>
          </w:rPr>
          <w:t>του Ν. 4555/18</w:t>
        </w:r>
      </w:hyperlink>
      <w:r w:rsidRPr="00B20FAC">
        <w:rPr>
          <w:rFonts w:ascii="Verdana" w:eastAsia="Times New Roman" w:hAnsi="Verdana" w:cs="Arial"/>
          <w:b/>
          <w:bCs/>
          <w:sz w:val="20"/>
          <w:szCs w:val="20"/>
          <w:u w:val="single"/>
          <w:lang w:val="el-GR" w:eastAsia="en-GB"/>
        </w:rPr>
        <w:t>, ΦΕΚ-133 Α/19-7-18, ορίζεται ότι :</w:t>
      </w:r>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“3. Οι διατάξεις του άρθρου</w:t>
      </w:r>
      <w:r w:rsidRPr="00B20FAC">
        <w:rPr>
          <w:rFonts w:ascii="Verdana" w:eastAsia="Times New Roman" w:hAnsi="Verdana" w:cs="Arial"/>
          <w:sz w:val="20"/>
          <w:szCs w:val="20"/>
          <w:lang w:eastAsia="en-GB"/>
        </w:rPr>
        <w:t> </w:t>
      </w:r>
      <w:hyperlink r:id="rId10" w:tgtFrame="_blank" w:history="1">
        <w:r w:rsidRPr="00B20FAC">
          <w:rPr>
            <w:rFonts w:ascii="Verdana" w:eastAsia="Times New Roman" w:hAnsi="Verdana" w:cs="Arial"/>
            <w:sz w:val="20"/>
            <w:szCs w:val="20"/>
            <w:u w:val="single"/>
            <w:lang w:val="el-GR" w:eastAsia="en-GB"/>
          </w:rPr>
          <w:t>224</w:t>
        </w:r>
      </w:hyperlink>
      <w:r w:rsidRPr="00B20FAC">
        <w:rPr>
          <w:rFonts w:ascii="Verdana" w:eastAsia="Times New Roman" w:hAnsi="Verdana" w:cs="Arial"/>
          <w:sz w:val="20"/>
          <w:szCs w:val="20"/>
          <w:lang w:eastAsia="en-GB"/>
        </w:rPr>
        <w:t> </w:t>
      </w:r>
      <w:hyperlink r:id="rId11" w:tgtFrame="_blank" w:history="1">
        <w:r w:rsidRPr="00B20FAC">
          <w:rPr>
            <w:rFonts w:ascii="Verdana" w:eastAsia="Times New Roman" w:hAnsi="Verdana" w:cs="Arial"/>
            <w:sz w:val="20"/>
            <w:szCs w:val="20"/>
            <w:u w:val="single"/>
            <w:lang w:val="el-GR" w:eastAsia="en-GB"/>
          </w:rPr>
          <w:t>του ν. 3852/2010</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ισχύουν και για τις αποφάσεις που εκδίδει ο δήμαρχος ως διατάκτης πιστώσεων”).</w:t>
      </w:r>
    </w:p>
    <w:p w14:paraId="55AE231F" w14:textId="0C8B7E7B"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225</w:t>
      </w:r>
    </w:p>
    <w:p w14:paraId="1486385A"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Υποχρεωτικός Έλεγχος Νομιμότητας</w:t>
      </w:r>
    </w:p>
    <w:p w14:paraId="7C2C913C" w14:textId="2176152C" w:rsidR="00481CD2" w:rsidRPr="00B20FAC" w:rsidRDefault="00481CD2" w:rsidP="00B20FAC">
      <w:pPr>
        <w:spacing w:before="100" w:beforeAutospacing="1" w:after="0" w:line="240" w:lineRule="auto"/>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Οι αποφάσεις των συλλογικών οργάνων των δήμων και των περιφερειών, καθώς και των Ν.Π.Δ.Δ. αυτών, αποστέλλονται υποχρεωτικά για έλεγχο νομιμότητας στην ΑΥΕ Ο.Τ.Α., εφόσον αφορούν: α) ρυθμίσεις κανονιστικού περιεχομένου, β) (βα) την ανάθεση συμβάσεων μελετών, παροχής τεχνικών και λοιπών συναφών επιστημονικών υπηρεσιών, προμήθειας αγαθών και παροχής γενικών υπηρεσιών η εκτιμώμενη αξία των οποίων υπερβαίνει το ποσό των τριάντα χιλιάδων (30.000) ευρώ χωρίς Φ.Π.Α. και μέχρι το ποσό των τριακοσίων χιλιάδων (300.000) ευρώ χωρίς Φ.Π.Α., (ββ) την ανάθεση συμβάσεων έργων και υπηρεσιών, που εμπίπτουν στο πεδίο εφαρμογής των άρθρων</w:t>
      </w:r>
      <w:r w:rsidRPr="00B20FAC">
        <w:rPr>
          <w:rFonts w:ascii="Verdana" w:eastAsia="Times New Roman" w:hAnsi="Verdana" w:cs="Arial"/>
          <w:sz w:val="20"/>
          <w:szCs w:val="20"/>
          <w:lang w:eastAsia="en-GB"/>
        </w:rPr>
        <w:t> </w:t>
      </w:r>
      <w:hyperlink r:id="rId12" w:tgtFrame="_blank" w:history="1">
        <w:r w:rsidRPr="00B20FAC">
          <w:rPr>
            <w:rFonts w:ascii="Verdana" w:eastAsia="Times New Roman" w:hAnsi="Verdana" w:cs="Arial"/>
            <w:sz w:val="20"/>
            <w:szCs w:val="20"/>
            <w:u w:val="single"/>
            <w:lang w:val="el-GR" w:eastAsia="en-GB"/>
          </w:rPr>
          <w:t>107</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έως</w:t>
      </w:r>
      <w:r w:rsidRPr="00B20FAC">
        <w:rPr>
          <w:rFonts w:ascii="Verdana" w:eastAsia="Times New Roman" w:hAnsi="Verdana" w:cs="Arial"/>
          <w:sz w:val="20"/>
          <w:szCs w:val="20"/>
          <w:lang w:eastAsia="en-GB"/>
        </w:rPr>
        <w:t> </w:t>
      </w:r>
      <w:hyperlink r:id="rId13" w:tgtFrame="_blank" w:history="1">
        <w:r w:rsidRPr="00B20FAC">
          <w:rPr>
            <w:rFonts w:ascii="Verdana" w:eastAsia="Times New Roman" w:hAnsi="Verdana" w:cs="Arial"/>
            <w:sz w:val="20"/>
            <w:szCs w:val="20"/>
            <w:u w:val="single"/>
            <w:lang w:val="el-GR" w:eastAsia="en-GB"/>
          </w:rPr>
          <w:t>110</w:t>
        </w:r>
      </w:hyperlink>
      <w:r w:rsidRPr="00B20FAC">
        <w:rPr>
          <w:rFonts w:ascii="Verdana" w:eastAsia="Times New Roman" w:hAnsi="Verdana" w:cs="Arial"/>
          <w:sz w:val="20"/>
          <w:szCs w:val="20"/>
          <w:lang w:eastAsia="en-GB"/>
        </w:rPr>
        <w:t> </w:t>
      </w:r>
      <w:hyperlink r:id="rId14" w:tgtFrame="_blank" w:history="1">
        <w:r w:rsidRPr="00B20FAC">
          <w:rPr>
            <w:rFonts w:ascii="Verdana" w:eastAsia="Times New Roman" w:hAnsi="Verdana" w:cs="Arial"/>
            <w:sz w:val="20"/>
            <w:szCs w:val="20"/>
            <w:u w:val="single"/>
            <w:lang w:val="el-GR" w:eastAsia="en-GB"/>
          </w:rPr>
          <w:t xml:space="preserve">του </w:t>
        </w:r>
        <w:r w:rsidRPr="00B20FAC">
          <w:rPr>
            <w:rFonts w:ascii="Verdana" w:eastAsia="Times New Roman" w:hAnsi="Verdana" w:cs="Arial"/>
            <w:sz w:val="20"/>
            <w:szCs w:val="20"/>
            <w:u w:val="single"/>
            <w:lang w:val="el-GR" w:eastAsia="en-GB"/>
          </w:rPr>
          <w:lastRenderedPageBreak/>
          <w:t>ν. 4412/2016</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(Α' 147), η εκτιμώμενη αξία των οποίων υπερβαίνει το ποσό των εξήντα χιλιάδων (60.000) ευρώ χωρίς Φ.Π.Α. και μέχρι το ποσό των τριακοσίων χιλιάδων (300.000) ευρώ χωρίς Φ.Π.Α., (βγ) την ανάθεση συμβάσεων, ανεξαρτήτως είδους αυτών, που συγχρηματοδοτούνται από ενωσιακούς πόρους, η εκτιμώμενη αξία των οποίων δεν υπερβαίνει το ποσό των πέντε εκατομμυρίων (5.000.000) ευρώ χωρίς Φ.Π.Α., γ) την αγορά και εκποίηση, λόγω πώλησης ή δωρεάς κατά κυριότητα, ακινήτων, δ) την κήρυξη αναγκαστικών απαλλοτριώσεων, ε) τη μίσθωση ακινήτων από τρίτους, στ) τη σύναψη πάσης φύσεως δανείων, ζ) την ίδρυση πάσης φύσεως νομικών προσώπων, τη συμμετοχή σε υφιστάμενα νομικά πρόσωπα, καθώς και τη λύση και τη θέση σε εκκαθάριση νομικών προσώπων, η) τη σύναψη πάσης φύσεως προγραμματικών συμβάσεων η προϋπολογιζόμενη δαπάνη, των οποίων δεν υπερβαίνει το ποσό των τριακοσίων χιλιάδων (300.000) ευρώ χωρίς Φ.Π.Α. και θ) τη διεξαγωγή δημοτικού ή περιφερειακού δημοψηφίσματος.</w:t>
      </w:r>
    </w:p>
    <w:p w14:paraId="1236E827" w14:textId="77777777" w:rsidR="00732E4F" w:rsidRPr="00B20FAC" w:rsidRDefault="00481CD2" w:rsidP="00B20FAC">
      <w:pPr>
        <w:spacing w:before="100" w:beforeAutospacing="1" w:after="0" w:line="261"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Στην ΑΥΕ Ο.Τ.Α. αποστέλλονται προς έλεγχο νομιμότητας και οι αποφάσεις των κοινωφελών επιχειρήσεων, των Δημοτικών Επιχειρήσεων Ύδρευσης Αποχέτευσης και των μονομετοχικών ανωνύμων εταιρειών Ο.Τ.Α. που αφορούν: α) αύξηση του μετοχικού κεφαλαίου, β) εκποίηση παγίων περιουσιακών στοιχείων, γ) αγορά και εκποίηση ακινήτων, δ) σύναψη δανείων, ε) (εα) την ανάθεση συμβάσεων μελετών, παροχής τεχνικών και λοιπών συναφών επιστημονικών υπηρεσιών, προμήθειας αγαθών και παροχής γενικών υπηρεσιών η εκτιμώμενη αξία των οποίων υπερβαίνει το ποσό των τριάντα χιλιάδων (30.000) ευρώ χωρίς Φ.Π.Α. και μέχρι το ποσό των τριακοσίων χιλιάδων (300.000) ευρώ χωρίς Φ.Π.Α., (εβ) την ανάθεση συμβάσεων έργων και υπηρεσιών, οι οποίες εμπίπτουν στο πεδίο εφαρμογής των άρθρων</w:t>
      </w:r>
      <w:r w:rsidRPr="00B20FAC">
        <w:rPr>
          <w:rFonts w:ascii="Verdana" w:eastAsia="Times New Roman" w:hAnsi="Verdana" w:cs="Arial"/>
          <w:sz w:val="20"/>
          <w:szCs w:val="20"/>
          <w:lang w:eastAsia="en-GB"/>
        </w:rPr>
        <w:t> </w:t>
      </w:r>
      <w:hyperlink r:id="rId15" w:tgtFrame="_blank" w:history="1">
        <w:r w:rsidRPr="00B20FAC">
          <w:rPr>
            <w:rFonts w:ascii="Verdana" w:eastAsia="Times New Roman" w:hAnsi="Verdana" w:cs="Arial"/>
            <w:sz w:val="20"/>
            <w:szCs w:val="20"/>
            <w:u w:val="single"/>
            <w:lang w:val="el-GR" w:eastAsia="en-GB"/>
          </w:rPr>
          <w:t>107</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έως</w:t>
      </w:r>
      <w:r w:rsidRPr="00B20FAC">
        <w:rPr>
          <w:rFonts w:ascii="Verdana" w:eastAsia="Times New Roman" w:hAnsi="Verdana" w:cs="Arial"/>
          <w:sz w:val="20"/>
          <w:szCs w:val="20"/>
          <w:lang w:eastAsia="en-GB"/>
        </w:rPr>
        <w:t> </w:t>
      </w:r>
      <w:hyperlink r:id="rId16" w:tgtFrame="_blank" w:history="1">
        <w:r w:rsidRPr="00B20FAC">
          <w:rPr>
            <w:rFonts w:ascii="Verdana" w:eastAsia="Times New Roman" w:hAnsi="Verdana" w:cs="Arial"/>
            <w:sz w:val="20"/>
            <w:szCs w:val="20"/>
            <w:u w:val="single"/>
            <w:lang w:val="el-GR" w:eastAsia="en-GB"/>
          </w:rPr>
          <w:t>110</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και</w:t>
      </w:r>
      <w:r w:rsidRPr="00B20FAC">
        <w:rPr>
          <w:rFonts w:ascii="Verdana" w:eastAsia="Times New Roman" w:hAnsi="Verdana" w:cs="Arial"/>
          <w:sz w:val="20"/>
          <w:szCs w:val="20"/>
          <w:lang w:eastAsia="en-GB"/>
        </w:rPr>
        <w:t> </w:t>
      </w:r>
      <w:hyperlink r:id="rId17" w:tgtFrame="_blank" w:history="1">
        <w:r w:rsidRPr="00B20FAC">
          <w:rPr>
            <w:rFonts w:ascii="Verdana" w:eastAsia="Times New Roman" w:hAnsi="Verdana" w:cs="Arial"/>
            <w:sz w:val="20"/>
            <w:szCs w:val="20"/>
            <w:u w:val="single"/>
            <w:lang w:val="el-GR" w:eastAsia="en-GB"/>
          </w:rPr>
          <w:t>318</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έως</w:t>
      </w:r>
      <w:r w:rsidRPr="00B20FAC">
        <w:rPr>
          <w:rFonts w:ascii="Verdana" w:eastAsia="Times New Roman" w:hAnsi="Verdana" w:cs="Arial"/>
          <w:sz w:val="20"/>
          <w:szCs w:val="20"/>
          <w:lang w:eastAsia="en-GB"/>
        </w:rPr>
        <w:t> </w:t>
      </w:r>
      <w:hyperlink r:id="rId18" w:tgtFrame="_blank" w:history="1">
        <w:r w:rsidRPr="00B20FAC">
          <w:rPr>
            <w:rFonts w:ascii="Verdana" w:eastAsia="Times New Roman" w:hAnsi="Verdana" w:cs="Arial"/>
            <w:sz w:val="20"/>
            <w:szCs w:val="20"/>
            <w:u w:val="single"/>
            <w:lang w:val="el-GR" w:eastAsia="en-GB"/>
          </w:rPr>
          <w:t>321</w:t>
        </w:r>
      </w:hyperlink>
      <w:r w:rsidRPr="00B20FAC">
        <w:rPr>
          <w:rFonts w:ascii="Verdana" w:eastAsia="Times New Roman" w:hAnsi="Verdana" w:cs="Arial"/>
          <w:sz w:val="20"/>
          <w:szCs w:val="20"/>
          <w:lang w:eastAsia="en-GB"/>
        </w:rPr>
        <w:t> </w:t>
      </w:r>
      <w:hyperlink r:id="rId19" w:tgtFrame="_blank" w:history="1">
        <w:r w:rsidRPr="00B20FAC">
          <w:rPr>
            <w:rFonts w:ascii="Verdana" w:eastAsia="Times New Roman" w:hAnsi="Verdana" w:cs="Arial"/>
            <w:sz w:val="20"/>
            <w:szCs w:val="20"/>
            <w:u w:val="single"/>
            <w:lang w:val="el-GR" w:eastAsia="en-GB"/>
          </w:rPr>
          <w:t>του ν. 4412/2016</w:t>
        </w:r>
      </w:hyperlink>
      <w:r w:rsidRPr="00B20FAC">
        <w:rPr>
          <w:rFonts w:ascii="Verdana" w:eastAsia="Times New Roman" w:hAnsi="Verdana" w:cs="Arial"/>
          <w:sz w:val="20"/>
          <w:szCs w:val="20"/>
          <w:lang w:val="el-GR" w:eastAsia="en-GB"/>
        </w:rPr>
        <w:t>, η εκτιμώμενη αξία των οποίων υπερβαίνει το ποσό των εξήντα χιλιάδων (60.000) ευρώ χωρίς Φ.Π.Α. και μέχρι το ποσό των τριακοσίων χιλιάδων (300.000) ευρώ χωρίς Φ.Π.Α., (εγ) την ανάθεση συμβάσεων, ανεξαρτήτως είδους αυτών, που συγχρηματοδοτούνται από ενωσιακούς πόρους, η εκτιμώμενη αξία των οποίων δεν υπερβαίνει το ποσό των πέντε εκατομμυρίων (5.000.000) ευρώ χωρίς Φ.Π.Α., στ) μίσθωση ακινήτων από τρίτους και ζ) τη σύναψη προγραμματικών συμβάσεων, η προϋπολογιζόμενη δαπάνη των οποίων δεν υπερβαίνει το ποσό των 300.000 ευρώ χωρίς Φ.Π.Α. Ειδικά, για τις ΔΕΥΑ, εκτός από τις παραπάνω αποφάσεις, αποστέλλονται επιπλέον προς έλεγχο νομιμότητας οι αποφάσεις εκείνες που αφορούν την ψήφιση του προϋπολογισμού της επιχείρησης και του τεχνικού προγράμματος έργων, καθώς και κάθε τροποποίησή τους. Επίσης, αποστέλλονται προς έλεγχο νομιμότητας οι αποφάσεις των Περιφερειακών Ταμείων Ανάπτυξης, εφόσον υπάγονται στις περιπτώσεις των προηγούμενων εδαφίων της παραγράφου αυτής, καθώς και ο προϋπολογισμός τους. Οι ετήσιες οικονομικές καταστάσεις αυτών κοινοποιούνται στην ΑΥΕ Ο.Τ.Α</w:t>
      </w:r>
    </w:p>
    <w:p w14:paraId="37456429" w14:textId="59C268AF" w:rsidR="00481CD2" w:rsidRPr="00B20FAC" w:rsidRDefault="00481CD2" w:rsidP="00B20FAC">
      <w:pPr>
        <w:spacing w:before="100" w:beforeAutospacing="1" w:after="0" w:line="261"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Η απόφαση αποστέλλεται για έλεγχο νομιμότητας συνοδευόμενη από αντίγραφο του αποδεικτικού δημοσίευσης και από τα έγγραφα στοιχεία που είναι αναγκαία για την νόμιμη έκδοσή της, μέσα σε προθεσμία δεκαπέντε (15) ημερών από τη συνεδρίαση του συλλογικού οργάνου. Οι δήμοι, οι περιφέρειες, τα Ν.Π.Δ.Δ. και οι ανωτέρω επιχειρήσεις τους υποχρεούνται να διαβιβάζουν αμελλητί και κάθε επιπλέον στοιχείο που ζητείται από την ΑΥΕ Ο.Τ.Α.</w:t>
      </w:r>
    </w:p>
    <w:p w14:paraId="7C20459E"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3. Ο Επόπτης Ο.Τ.Α. ελέγχει τη νομιμότητα της απόφασης μέσα σε αποκλειστική προθεσμία τριάντα (30) ημερών από την περιέλευσή της στην ΑΥΕ Ο.Τ.Α. και εκδίδει υποχρεωτικά ειδική πράξη. Η μη έκδοση της ειδικής πράξης του προηγούμενου εδαφίου συνιστά πειθαρχικό παράπτωμα του Επόπτη Ο.Τ.Α.</w:t>
      </w:r>
    </w:p>
    <w:p w14:paraId="7D1BBE99" w14:textId="374E2FDB" w:rsidR="00732E4F" w:rsidRPr="00B20FAC" w:rsidRDefault="00481CD2" w:rsidP="00B20FAC">
      <w:pPr>
        <w:shd w:val="clear" w:color="auto" w:fill="FFFFFF"/>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 xml:space="preserve">4. Εκθέσεις τακτικού ή έκτακτου διαχειριστικού ελέγχου σε Ο.Τ.Α. ή νομικά πρόσωπα αυτών, από ορκωτούς ελεγκτές ή από υπηρεσίες εσωτερικού ελέγχου, που διενεργείται σύμφωνα με ειδικές διατάξεις νόμου ή Οργανισμού Εσωτερικής Υπηρεσίας, διαβιβάζονται </w:t>
      </w:r>
      <w:r w:rsidRPr="00B20FAC">
        <w:rPr>
          <w:rFonts w:ascii="Verdana" w:eastAsia="Times New Roman" w:hAnsi="Verdana" w:cs="Arial"/>
          <w:sz w:val="20"/>
          <w:szCs w:val="20"/>
          <w:lang w:val="el-GR" w:eastAsia="en-GB"/>
        </w:rPr>
        <w:lastRenderedPageBreak/>
        <w:t>υποχρεωτικά στον Επόπτη Ο.Τ.Α., για την παρακολούθηση και υλοποίηση των σχετικών συστάσεων ή πορισμάτων</w:t>
      </w:r>
      <w:r w:rsidR="00732E4F" w:rsidRPr="00B20FAC">
        <w:rPr>
          <w:rFonts w:ascii="Verdana" w:eastAsia="Times New Roman" w:hAnsi="Verdana" w:cs="Arial"/>
          <w:sz w:val="20"/>
          <w:szCs w:val="20"/>
          <w:lang w:val="el-GR" w:eastAsia="en-GB"/>
        </w:rPr>
        <w:t xml:space="preserve">. </w:t>
      </w:r>
    </w:p>
    <w:p w14:paraId="34FE0081" w14:textId="431488F5"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226</w:t>
      </w:r>
    </w:p>
    <w:p w14:paraId="0F662856"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Αυτεπάγγελτος έλεγχος νομιμότητας</w:t>
      </w:r>
    </w:p>
    <w:p w14:paraId="5D262C0E"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Ο Επόπτης Ο.Τ.Α. μπορεί αυτεπαγγέλτως να ακυρώσει οποιαδήποτε απόφαση των συλλογικών ή μονομελών οργάνων των δήμων, των περιφερειών, των νομικών προσώπων αυτών, καθώς και των συνδέσμων τους, για λόγους νομιμότητας, μέσα σε προθεσμία δύο (2) μηνών αφότου η απόφαση έχει δημοσιευτεί ή εκδοθεί.</w:t>
      </w:r>
    </w:p>
    <w:p w14:paraId="1C74F380"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Οι δήμοι, οι περιφέρειες, οι σύνδεσμοι και τα νομικά πρόσωπα αυτών υποχρεούνται να παρέχουν αμελλητί κάθε στοιχείο που ζητείται από την ΑΥΕ Ο.Τ.Α. με σκοπό την άσκηση του ελέγχου νομιμότητας.</w:t>
      </w:r>
    </w:p>
    <w:p w14:paraId="11A52A9A" w14:textId="1DE070C1" w:rsidR="00481CD2" w:rsidRPr="00B20FAC" w:rsidRDefault="00481CD2" w:rsidP="00B20FAC">
      <w:pPr>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3. Με απόφαση του Υπουργού Εσωτερικών, η οποία εκδίδεται ύστερα από γνώμη του Συμβουλίου Εποπτών Ο.Τ.Α. και της Επιτροπής Συντονισμού και Ελέγχου Εποπτείας Ο.Τ.Α., μπορεί να προβλέπεται η διενέργεια δειγματοληπτικού ελέγχου, σύμφωνα με συγκεκριμένες ποσοστώσεις ανά κατηγορία πράξης ή ανά Ο.Τ.Α., με τη χρήση μεθόδων εκτίμησης κινδύνου, καθώς και η διαδικασία μέσω της οποίας η ΑΥΕ Ο.Τ.Α. θα λαμβάνει γνώση των εκδιδόμενων πράξεων, η μέθοδος ανάρτησης ή ηλεκτρονικής διακίνησης της σχετικής αλληλογραφίας, καθώς και κάθε άλλο σχετικό θέμα.» δημοσιευθεί ή εκδοθεί</w:t>
      </w:r>
    </w:p>
    <w:p w14:paraId="46527115" w14:textId="77777777" w:rsidR="00732E4F" w:rsidRPr="00B20FAC" w:rsidRDefault="00732E4F" w:rsidP="00B20FAC">
      <w:pPr>
        <w:spacing w:before="100" w:beforeAutospacing="1" w:after="0" w:line="255" w:lineRule="atLeast"/>
        <w:jc w:val="both"/>
        <w:rPr>
          <w:rFonts w:ascii="Arial" w:eastAsia="Times New Roman" w:hAnsi="Arial" w:cs="Arial"/>
          <w:sz w:val="20"/>
          <w:szCs w:val="20"/>
          <w:lang w:val="el-GR" w:eastAsia="en-GB"/>
        </w:rPr>
      </w:pPr>
    </w:p>
    <w:p w14:paraId="5540C4AE" w14:textId="2E9C3C84" w:rsidR="00732E4F" w:rsidRPr="00B20FAC" w:rsidRDefault="00732E4F" w:rsidP="00B20FAC">
      <w:pPr>
        <w:shd w:val="clear" w:color="auto" w:fill="FFFFFF"/>
        <w:spacing w:after="0" w:line="255" w:lineRule="atLeast"/>
        <w:jc w:val="both"/>
        <w:rPr>
          <w:rFonts w:ascii="Arial" w:eastAsia="Times New Roman" w:hAnsi="Arial" w:cs="Arial"/>
          <w:i/>
          <w:iCs/>
          <w:sz w:val="20"/>
          <w:szCs w:val="20"/>
          <w:lang w:val="el-GR" w:eastAsia="en-GB"/>
        </w:rPr>
      </w:pPr>
      <w:r w:rsidRPr="00B20FAC">
        <w:rPr>
          <w:rFonts w:ascii="Arial" w:eastAsia="Times New Roman" w:hAnsi="Arial" w:cs="Arial"/>
          <w:i/>
          <w:iCs/>
          <w:sz w:val="20"/>
          <w:szCs w:val="20"/>
          <w:lang w:val="el-GR" w:eastAsia="en-GB"/>
        </w:rPr>
        <w:t>[</w:t>
      </w:r>
      <w:r w:rsidRPr="00B20FAC">
        <w:rPr>
          <w:rFonts w:ascii="Arial" w:eastAsia="Times New Roman" w:hAnsi="Arial" w:cs="Arial"/>
          <w:b/>
          <w:bCs/>
          <w:i/>
          <w:iCs/>
          <w:sz w:val="20"/>
          <w:szCs w:val="20"/>
          <w:lang w:val="el-GR" w:eastAsia="en-GB"/>
        </w:rPr>
        <w:t>Αρθρο 240 Ν 4555/2018</w:t>
      </w:r>
      <w:r w:rsidRPr="00B20FAC">
        <w:rPr>
          <w:rFonts w:ascii="Arial" w:eastAsia="Times New Roman" w:hAnsi="Arial" w:cs="Arial"/>
          <w:i/>
          <w:iCs/>
          <w:sz w:val="20"/>
          <w:szCs w:val="20"/>
          <w:lang w:val="el-GR" w:eastAsia="en-GB"/>
        </w:rPr>
        <w:t xml:space="preserve"> όπως ισχύει: </w:t>
      </w:r>
    </w:p>
    <w:p w14:paraId="3EDFDF83" w14:textId="77777777" w:rsidR="00732E4F" w:rsidRPr="00B20FAC" w:rsidRDefault="00732E4F" w:rsidP="00B20FAC">
      <w:pPr>
        <w:shd w:val="clear" w:color="auto" w:fill="FFFFFF"/>
        <w:spacing w:after="0" w:line="255" w:lineRule="atLeast"/>
        <w:jc w:val="both"/>
        <w:rPr>
          <w:rFonts w:ascii="Arial" w:eastAsia="Times New Roman" w:hAnsi="Arial" w:cs="Arial"/>
          <w:b/>
          <w:bCs/>
          <w:i/>
          <w:iCs/>
          <w:sz w:val="20"/>
          <w:szCs w:val="20"/>
          <w:lang w:val="el-GR" w:eastAsia="en-GB"/>
        </w:rPr>
      </w:pPr>
      <w:r w:rsidRPr="00B20FAC">
        <w:rPr>
          <w:rFonts w:ascii="Arial" w:eastAsia="Times New Roman" w:hAnsi="Arial" w:cs="Arial"/>
          <w:b/>
          <w:bCs/>
          <w:i/>
          <w:iCs/>
          <w:sz w:val="20"/>
          <w:szCs w:val="20"/>
          <w:lang w:val="el-GR" w:eastAsia="en-GB"/>
        </w:rPr>
        <w:t>Εποπτεία επί των αποφάσεων των ΦΟΔΣΑ</w:t>
      </w:r>
    </w:p>
    <w:p w14:paraId="678723B5" w14:textId="63C90BB7" w:rsidR="00481CD2" w:rsidRPr="00B20FAC" w:rsidRDefault="00732E4F" w:rsidP="00B20FAC">
      <w:pPr>
        <w:shd w:val="clear" w:color="auto" w:fill="FFFFFF"/>
        <w:spacing w:after="0" w:line="255" w:lineRule="atLeast"/>
        <w:jc w:val="both"/>
        <w:rPr>
          <w:rFonts w:ascii="Arial" w:eastAsia="Times New Roman" w:hAnsi="Arial" w:cs="Arial"/>
          <w:i/>
          <w:iCs/>
          <w:sz w:val="20"/>
          <w:szCs w:val="20"/>
          <w:lang w:val="el-GR" w:eastAsia="en-GB"/>
        </w:rPr>
      </w:pPr>
      <w:r w:rsidRPr="00B20FAC">
        <w:rPr>
          <w:rFonts w:ascii="Arial" w:eastAsia="Times New Roman" w:hAnsi="Arial" w:cs="Arial"/>
          <w:i/>
          <w:iCs/>
          <w:sz w:val="20"/>
          <w:szCs w:val="20"/>
          <w:lang w:val="el-GR" w:eastAsia="en-GB"/>
        </w:rPr>
        <w:t>Για τις αποφάσεις του δεύτερου εδαφίου της παρ. 1 του άρθρου 225 του ν. 3852/2010 (Α΄87), οι οποίες λαμβάνονται από τα μονομελή και συλλογικά όργανα διοίκησης των ΦΟΔΣΑ, ανεξαρτήτως νομικής μορφής, ασκείται υποχρεωτικός έλεγχος νομιμότητας του άρθρου 225 του ν. 3852/2010, με εξαίρεση όσες αποφάσεις ελέγχονται, σύμφωνα με τις διατάξεις του κ.ν. 2190/1920 (Α΄144) και του ν. 4548/2018 (Α΄104). Από τον αυτεπάγγελτο έλεγχο νομιμότητας του άρθρου 226 του ν. 3852/2010 εξαιρούνται όσες αποφάσεις ελέγχονται, σύμφωνα με τις διατάξεις του κ.ν. 2190/1920 και του ν. 4548/2018}.</w:t>
      </w:r>
    </w:p>
    <w:p w14:paraId="4671B6D0" w14:textId="03B50BB4"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227</w:t>
      </w:r>
    </w:p>
    <w:p w14:paraId="137F1E29"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Ειδική διοικητική προσφυγή - Αιτήσεις θεραπείας</w:t>
      </w:r>
    </w:p>
    <w:p w14:paraId="0EB4C125"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αυτών, καθώς και των συνδέσμων τους, για λόγους νομιμότητας, ενώπιον του Επόπτη Ο.Τ.Α., μέσα σε προθεσμία δεκαπέντε (15) ημερών από τη δημοσίευση της απόφασης ή την ανάρτησή της στο διαδίκτυο ή από την κοινοποίησή της ή αφότου έλαβε πλήρη γνώση αυτής. Ατομικές πράξεις κοινοποιούνται στον ενδιαφερόμενο με απόδειξη παραλαβής και αναφέρουν υποχρεωτικά ότι κατ’ αυτών χωρεί ειδική προσφυγή για λόγους νομιμότητας ενώπιον του Επόπτη Ο.Τ.Α. μέσα σε προθεσμία δεκαπέντε (15) ημερών.</w:t>
      </w:r>
    </w:p>
    <w:p w14:paraId="47626F66"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Προσφυγή επιτρέπεται και κατά παράλειψης οφειλόμενης νόμιμης ενέργειας των οργάνων της προηγούμενης παραγράφου. Στην περίπτωση αυτή η προσφυγή ασκείται εντός δεκαπέντε (15) ημερών από την παρέλευση άπρακτης της ειδικής προθεσμίας που τυχόν τάσσει ο νόμος για την έκδοση της οικείας πράξης, διαφορετικά μετά την παρέλευση τριμήνου από την υποβολή της σχετικής αίτησης του ενδιαφερομένου.</w:t>
      </w:r>
    </w:p>
    <w:p w14:paraId="2658766C"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lastRenderedPageBreak/>
        <w:t>3. Σε περίπτωση υποβολής αίτησης θεραπείας κατά των αποφάσεων ή των παραλείψεων της παραγράφου 2, οι προβλεπόμενες για την άσκηση της ειδικής διοικητικής προσφυγής ενώπιον του Επόπτη Ο.Τ.Α. προθεσμίες αναστέλλονται από την υποβολή της αίτησης θεραπείας και μέχρι την έκδοση απόφασης επ’ αυτής ή την παρέλευση άπρακτης της σχετικής προθεσμίας του άρθρου 24 του Κώδικα Διοικητικής Διαδικασίας, ο οποίος κυρώθηκε με το</w:t>
      </w:r>
      <w:r w:rsidRPr="00B20FAC">
        <w:rPr>
          <w:rFonts w:ascii="Verdana" w:eastAsia="Times New Roman" w:hAnsi="Verdana" w:cs="Arial"/>
          <w:sz w:val="20"/>
          <w:szCs w:val="20"/>
          <w:lang w:eastAsia="en-GB"/>
        </w:rPr>
        <w:t> </w:t>
      </w:r>
      <w:hyperlink r:id="rId20" w:tgtFrame="_blank" w:history="1">
        <w:r w:rsidRPr="00B20FAC">
          <w:rPr>
            <w:rFonts w:ascii="Verdana" w:eastAsia="Times New Roman" w:hAnsi="Verdana" w:cs="Arial"/>
            <w:sz w:val="20"/>
            <w:szCs w:val="20"/>
            <w:u w:val="single"/>
            <w:lang w:val="el-GR" w:eastAsia="en-GB"/>
          </w:rPr>
          <w:t>ν. 2690/1999</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(Α΄ 45).</w:t>
      </w:r>
    </w:p>
    <w:p w14:paraId="2AC3C2F6"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4. Δικαίωμα για την άσκηση της ειδικής διοικητικής προσφυγής τεκμαίρεται ότι έχουν όλοι οι αιρετοί του οικείου δήμου ή περιφέρειας, ανεξάρτητα από το εάν έλαβαν μέρος στη συνεδρίαση κατά την οποία ελήφθη η προσβαλλόμενη απόφαση, εφόσον δεν την υπερψήφισαν. Δικαίωμα έχουν ομοίως οι συνδικαλιστικές οργανώσεις εργαζομένων στην Τοπική Αυτοδιοίκηση πρώτου ή δεύτερου βαθμού, καθώς και νομικά πρόσωπα μη κερδοσκοπικού χαρακτήρα, που επιδιώκουν σύμφωνα με το καταστατικό τους περιβαλλοντικούς, πολιτιστικούς και εν γένει κοινωνικούς σκοπούς.</w:t>
      </w:r>
    </w:p>
    <w:p w14:paraId="331B13E9"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5. Ο Επόπτης Ο.Τ.Α. αποφαίνεται επί της προσφυγής μέσα σε αποκλειστική προθεσμία δύο (2) μηνών από την υποβολή της. Αν παρέλθει η ανωτέρω προθεσμία χωρίς να εκδοθεί απόφαση θεωρείται ότι η προσφυγή έχει σιωπηρώς απορριφθεί.</w:t>
      </w:r>
    </w:p>
    <w:p w14:paraId="63CADCB0" w14:textId="35CF38C2" w:rsidR="00481CD2" w:rsidRPr="00B20FAC" w:rsidRDefault="00481CD2" w:rsidP="00B20FAC">
      <w:pPr>
        <w:shd w:val="clear" w:color="auto" w:fill="FFFFFF"/>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6. Η άσκηση της ειδικής διοικητικής προσφυγής αποτελεί προϋπόθεση για την άσκηση ένδικων βοηθημάτων ενώπιον των αρμόδιων δικαστηρίων</w:t>
      </w:r>
      <w:r w:rsidR="00675893" w:rsidRPr="00B20FAC">
        <w:rPr>
          <w:rFonts w:ascii="Verdana" w:eastAsia="Times New Roman" w:hAnsi="Verdana" w:cs="Arial"/>
          <w:sz w:val="20"/>
          <w:szCs w:val="20"/>
          <w:lang w:val="el-GR" w:eastAsia="en-GB"/>
        </w:rPr>
        <w:t xml:space="preserve"> [η παρ. 6 δεν εφαρμόζεται ακόμη]</w:t>
      </w:r>
    </w:p>
    <w:p w14:paraId="026A9B46" w14:textId="6FCA2DE3" w:rsidR="00675893" w:rsidRDefault="00675893" w:rsidP="00B20FAC">
      <w:pPr>
        <w:shd w:val="clear" w:color="auto" w:fill="FFFFFF"/>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(238 παρ. 6.  Μέχρι την έναρξη λειτουργίας της ΑΥΕ Ο.Τ.Α. δεν εφαρμόζεται η παράγραφος 6 του άρθρου 227.)</w:t>
      </w:r>
    </w:p>
    <w:p w14:paraId="78813EA6" w14:textId="0B712D2F" w:rsidR="00481CD2" w:rsidRPr="00DF2DA6" w:rsidRDefault="00675893" w:rsidP="00B20FAC">
      <w:pPr>
        <w:spacing w:before="100" w:beforeAutospacing="1" w:after="0" w:line="255" w:lineRule="atLeast"/>
        <w:jc w:val="both"/>
        <w:rPr>
          <w:rFonts w:ascii="Arial" w:eastAsia="Times New Roman" w:hAnsi="Arial" w:cs="Arial"/>
          <w:i/>
          <w:iCs/>
          <w:sz w:val="20"/>
          <w:szCs w:val="20"/>
          <w:lang w:val="el-GR" w:eastAsia="en-GB"/>
        </w:rPr>
      </w:pPr>
      <w:r w:rsidRPr="00DF2DA6">
        <w:rPr>
          <w:rFonts w:ascii="Verdana" w:eastAsia="Times New Roman" w:hAnsi="Verdana" w:cs="Arial"/>
          <w:i/>
          <w:iCs/>
          <w:sz w:val="20"/>
          <w:szCs w:val="20"/>
          <w:lang w:val="el-GR" w:eastAsia="en-GB"/>
        </w:rPr>
        <w:t>[</w:t>
      </w:r>
      <w:r w:rsidR="00481CD2" w:rsidRPr="00DF2DA6">
        <w:rPr>
          <w:rFonts w:ascii="Verdana" w:eastAsia="Times New Roman" w:hAnsi="Verdana" w:cs="Arial"/>
          <w:i/>
          <w:iCs/>
          <w:sz w:val="20"/>
          <w:szCs w:val="20"/>
          <w:lang w:val="el-GR" w:eastAsia="en-GB"/>
        </w:rPr>
        <w:t>Άρθρο 228</w:t>
      </w:r>
      <w:r w:rsidRPr="00DF2DA6">
        <w:rPr>
          <w:rFonts w:ascii="Verdana" w:eastAsia="Times New Roman" w:hAnsi="Verdana" w:cs="Arial"/>
          <w:i/>
          <w:iCs/>
          <w:sz w:val="20"/>
          <w:szCs w:val="20"/>
          <w:lang w:val="el-GR" w:eastAsia="en-GB"/>
        </w:rPr>
        <w:t xml:space="preserve"> (δεν εφαρμόζεται ακόμη)</w:t>
      </w:r>
    </w:p>
    <w:p w14:paraId="3304AC66" w14:textId="47E67B13"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229</w:t>
      </w:r>
    </w:p>
    <w:p w14:paraId="55568A10"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Επιτόπιοι έλεγχοι</w:t>
      </w:r>
    </w:p>
    <w:p w14:paraId="73FB6CD0" w14:textId="2A9C8725" w:rsidR="00B76A6B" w:rsidRPr="00B20FAC" w:rsidRDefault="00481CD2" w:rsidP="00B20FAC">
      <w:pPr>
        <w:shd w:val="clear" w:color="auto" w:fill="FFFFFF"/>
        <w:spacing w:before="100" w:beforeAutospacing="1" w:after="0" w:line="255" w:lineRule="atLeast"/>
        <w:jc w:val="both"/>
        <w:rPr>
          <w:rFonts w:ascii="Verdana" w:eastAsia="Times New Roman" w:hAnsi="Verdana" w:cs="Arial"/>
          <w:b/>
          <w:bCs/>
          <w:sz w:val="20"/>
          <w:szCs w:val="20"/>
          <w:lang w:val="el-GR" w:eastAsia="en-GB"/>
        </w:rPr>
      </w:pPr>
      <w:r w:rsidRPr="00B20FAC">
        <w:rPr>
          <w:rFonts w:ascii="Verdana" w:eastAsia="Times New Roman" w:hAnsi="Verdana" w:cs="Arial"/>
          <w:sz w:val="20"/>
          <w:szCs w:val="20"/>
          <w:lang w:val="el-GR" w:eastAsia="en-GB"/>
        </w:rPr>
        <w:t>Η Αυτοτελής Υπηρεσία Εποπτείας Ο.Τ.Α. μπορεί στο πλαίσιο του έργου της να ενεργεί επιτόπιους ελέγχους προκειμένου να διαμορφώνει ίδια αντίληψη. Με απόφαση του Υπουργού Εσωτερικών μπορούν να ρυθμίζονται ειδικότερα θέματα σχετικά με τη διαδικασία διεξαγωγής των επιτόπιων ελέγχων</w:t>
      </w:r>
    </w:p>
    <w:p w14:paraId="6F1CFCE8" w14:textId="5B7846DE"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230</w:t>
      </w:r>
    </w:p>
    <w:p w14:paraId="461F41D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Δημοσίευση αποφάσεων του Επόπτη Ο.Τ.Α.</w:t>
      </w:r>
    </w:p>
    <w:p w14:paraId="382EEFF0"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Οι αποφάσεις του Επόπτη Ο.Τ.Α., οι οποίες εκδίδονται σύμφωνα με τις διατάξεις των άρθρων 225 έως 227, κοινοποιούνται στον φορέα που εξέδωσε την πράξη την οποία αφορούν, στον οικείο Δημοτικό ή Περιφερειακό Διαμεσολαβητή, καθώς και σε αυτόν που έχει ασκήσει την προσφυγή κατά της πράξης, εντός πέντε (5) ημερών από την έκδοσή τους.</w:t>
      </w:r>
    </w:p>
    <w:p w14:paraId="7BB7A18D"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Οι αποφάσεις της παραγράφου 1 αναρτώνται στην επίσημη ιστοσελίδα της οικείας ΑΥΕ Ο.Τ.Α., καθώς και στην ιστοσελίδα του προγράμματος «Διαύγεια» εντός δύο (2) ημερών από την έκδοσή τους. Παράλειψη της σχετικής υποχρέωσης συνιστά πειθαρχικό παράπτωμα για τον Επόπτη Ο.Τ.Α..</w:t>
      </w:r>
    </w:p>
    <w:p w14:paraId="4EBD967B" w14:textId="1A273C27" w:rsidR="00B76A6B" w:rsidRPr="00B20FAC" w:rsidRDefault="00481CD2" w:rsidP="00B20FAC">
      <w:pPr>
        <w:shd w:val="clear" w:color="auto" w:fill="FFFFFF"/>
        <w:spacing w:before="100" w:beforeAutospacing="1" w:after="0" w:line="255" w:lineRule="atLeast"/>
        <w:jc w:val="both"/>
        <w:rPr>
          <w:rFonts w:ascii="Verdana" w:eastAsia="Times New Roman" w:hAnsi="Verdana" w:cs="Arial"/>
          <w:b/>
          <w:bCs/>
          <w:sz w:val="20"/>
          <w:szCs w:val="20"/>
          <w:lang w:val="el-GR" w:eastAsia="en-GB"/>
        </w:rPr>
      </w:pPr>
      <w:r w:rsidRPr="00B20FAC">
        <w:rPr>
          <w:rFonts w:ascii="Verdana" w:eastAsia="Times New Roman" w:hAnsi="Verdana" w:cs="Arial"/>
          <w:sz w:val="20"/>
          <w:szCs w:val="20"/>
          <w:lang w:val="el-GR" w:eastAsia="en-GB"/>
        </w:rPr>
        <w:t>3. Οι αποφάσεις του Επόπτη Ο.Τ.Α. προσβάλλονται στα αρμόδια δικαστήρια με τα ένδικα βοηθήματα που προβλέπονται από την κείμενη νομοθεσία</w:t>
      </w:r>
    </w:p>
    <w:p w14:paraId="0A1BAE72" w14:textId="6E3B5FF5"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lastRenderedPageBreak/>
        <w:t>Άρθρο 231</w:t>
      </w:r>
    </w:p>
    <w:p w14:paraId="63000D59"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Υποχρέωση συμμόρφωσης</w:t>
      </w:r>
    </w:p>
    <w:p w14:paraId="140D098B"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Τα συλλογικά και μονομελή όργανα των δήμων και των περιφερειών, καθώς και τα νομικά πρόσωπα και οι σύνδεσμοι αυτών έχουν υποχρέωση συμμόρφωσης χωρίς καθυστέρηση προς τις αποφάσεις του Επόπτη Ο.Τ.Α. που εκδίδονται σύμφωνα με τα άρθρα 225 έως 228.</w:t>
      </w:r>
    </w:p>
    <w:p w14:paraId="5333D6C9"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Την υποχρέωση της παραγράφου 1 έχει και το πάσης φύσεως προσωπικό που υπηρετεί στα νομικά πρόσωπα της παραγράφου 1 με οποιαδήποτε σχέση εργασίας.</w:t>
      </w:r>
    </w:p>
    <w:p w14:paraId="06C3CD31" w14:textId="4DD6C079"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3. Οι δημοτικοί και περιφερειακοί σύμβουλοι, καθώς και τα μέλη των διοικητικών συμβουλίων των νομικών προσώπων δημοσίου δικαίου των δήμων και των περιφερειών, έχουν υποχρέωση συμμόρφωσης με τις υποδείξεις της αρμόδιας για τον έλεγχο και την εποπτεία Αρχής, οι οποίες γίνονται στο πλαίσιο ελέγχου νομιμότητας απόφασης ή εξέτασης προσφυγής.</w:t>
      </w:r>
    </w:p>
    <w:p w14:paraId="3D050A52" w14:textId="624BD391" w:rsidR="00481CD2" w:rsidRPr="00B20FAC" w:rsidRDefault="00481CD2" w:rsidP="00B20FAC">
      <w:pPr>
        <w:spacing w:before="100" w:beforeAutospacing="1" w:after="0" w:line="240" w:lineRule="auto"/>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 xml:space="preserve">4. Η μη τήρηση των υποχρεώσεων των παραγράφων 1, 2 και 3 συνιστά σοβαρή παράβαση καθήκοντος, η οποία ελέγχεται πειθαρχικά κατά τις οικείες διατάξεις που διέπουν τους αιρετούς και το προσωπικό των ανωτέρω νομικών προσώπων. </w:t>
      </w:r>
    </w:p>
    <w:p w14:paraId="4767B0CC" w14:textId="2A12FD3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232</w:t>
      </w:r>
    </w:p>
    <w:p w14:paraId="6FF651C1"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Αστική ευθύνη</w:t>
      </w:r>
    </w:p>
    <w:p w14:paraId="57AB5C89"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Οι περιφερειάρχες, οι αντιπεριφερειάρχες, οι περιφερειακοί σύμβουλοι, οι δήμαρχοι, οι αντιδήμαρχοι, οι δημοτικοί σύμβουλοι, οι πρόεδροι κοινοτήτων και τα μέλη συμβουλίων κοινότητας, καθώς και τα μέλη των συλλογικών οργάνων που διοικούν τα νομικά πρόσωπα των Ο.Τ.Α., καθώς και τους συνδέσμους αυτών είτε είναι αιρετοί των οικείων Ο.Τ.Α. είτε όχι, οφείλουν να αποζημιώσουν το δήμο, την περιφέρεια, το νομικό πρόσωπο ή το σύνδεσμο, για κάθε θετική ζημία, που προξένησαν σε βάρος της περιουσίας τους από δόλο ή βαριά αμέλεια. Οι ανωτέρω δεν υπέχουν ευθύνη αποζημίωσης έναντι τρίτων.</w:t>
      </w:r>
    </w:p>
    <w:p w14:paraId="6409E4A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Η ζημία καταλογίζεται στα πρόσωπα αυτά με αιτιολογημένη πράξη τριμελούς ελεγκτικής επιτροπής, που συγκροτείται στην έδρα κάθε ΑΥΕ Ο.Τ.Α. με κοινή απόφαση των Υπουργών Εσωτερικών και Οικονομικών και αποτελείται από:</w:t>
      </w:r>
    </w:p>
    <w:p w14:paraId="6A970382"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α. Τον Επίτροπο του Ελεγκτικού Συνεδρίου ή όπου δεν υπηρετεί Επίτροπος, από έναν ανώτερο υπάλληλο του Ελεγκτικού Συνεδρίου, που ορίζεται μαζί με τον αναπληρωτή του από τον Πρόεδρο του Ελεγκτικού Συνεδρίου.</w:t>
      </w:r>
    </w:p>
    <w:p w14:paraId="3E6E8EA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β. Τον Προϊστάμενο της Γενικής Διεύθυνσης Δημοσιονομικών Ελέγχων, με αναπληρωτή του έναν Προϊστάμενο Διεύθυνσης της εν λόγω Γενικής Διεύθυνσης.</w:t>
      </w:r>
    </w:p>
    <w:p w14:paraId="32649E1A"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γ. Όταν αφορά δήμους ή φορείς τους, έναν εκπρόσωπο της οικείας Περιφερειακής Ένωσης Δήμων με τον αναπληρωτή του, που ορίζονται από το Διοικητικό Συμβούλιο αυτής και, όταν αφορά περιφέρειες ή φορείς τους, έναν εκπρόσωπο της Ένωσης Περιφερειών και τον αναπληρωτή του, που ορίζονται από το Διοικητικό Συμβούλιο αυτής. Καθήκοντα γραμματέα εκτελεί υπάλληλος του κλάδου ΠΕ Διοικητικού της ΑΥΕ Ο.Τ.Α. που υποδεικνύεται από τον Επόπτη Ο.Τ.Α..</w:t>
      </w:r>
    </w:p>
    <w:p w14:paraId="59120CB5"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lastRenderedPageBreak/>
        <w:t>3. Η επιτροπή εξετάζει τις υποθέσεις ύστερα από αίτηση του δήμου ή της περιφέρειας ή του νομικού προσώπου ή του συνδέσμου ή με αίτημα του οικείου Επόπτη Ο.Τ.Α. ή του Γενικού Επιθεωρητή Δημόσιας Διοίκησης ή ύστερα από αίτηση οποιουδήποτε δημότη και αποφασίζει μέσα σε εύλογο διάστημα, αφού διενεργήσει έρευνα και καλέσει τα πρόσωπα που θεωρούνται υπεύθυνα για την πρόκληση της ζημίας προς παροχή εξηγήσεων.</w:t>
      </w:r>
    </w:p>
    <w:p w14:paraId="247E5D9D"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4. Κατά των πράξεων της επιτροπής επιτρέπεται προσφυγή στο Διοικητικό Εφετείο στην περιφέρεια του οποίου βρίσκεται η έδρα της οικείας ΑΥΕ Ο.Τ.Α. από τον Επόπτη Ο.Τ.Α. και από το πρόσωπο σε βάρος του οποίου έγινε ο καταλογισμός, μέσα σε προθεσμία εξήντα (60) ημερών από την κοινοποίηση της πράξης καταλογισμού σ’ αυτούς. Η προθεσμία για την άσκηση της προσφυγής και η άσκησή της αναστέλλουν την εκτέλεση της πράξης της επιτροπής.</w:t>
      </w:r>
    </w:p>
    <w:p w14:paraId="1EDA0C0E"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5. Κατά της απόφασης του Διοικητικού Εφετείου μπορεί να ασκηθεί αίτηση αναιρέσεως ενώπιον του Συμβουλίου της Επικρατείας.</w:t>
      </w:r>
    </w:p>
    <w:p w14:paraId="753AC9B6" w14:textId="3B2BB02F"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6. Εάν επιβληθεί καταλογισμός στο πλαίσιο δημοσιονομικού ελέγχου σε ένα από τα πρόσωπα που αναφέρονται στην παράγραφο 1, αποκλείεται η αστική ευθύνη έναντι του οικείου Ο.Τ.Α. για τυχόν προκληθείσα ζημία, εφόσον πρόκειται για την ίδια ιστορική αιτία. Σε περίπτωση επιγενόμενου καταλογισμού στο πλαίσιο δημοσιονομικού ελέγχου, μετά από ανόρθωση της ζημίας από τον υπαίτιο κατά τη διαδικασία του παρόντος, συμψηφίζεται το ήδη καταβληθέν ποσό με το καταλογιζόμενο εφόσον πρόκειται για την ίδια ιστορική αιτία</w:t>
      </w:r>
      <w:r w:rsidR="00B76A6B" w:rsidRPr="00B20FAC">
        <w:rPr>
          <w:rFonts w:ascii="Verdana" w:eastAsia="Times New Roman" w:hAnsi="Verdana" w:cs="Arial"/>
          <w:sz w:val="20"/>
          <w:szCs w:val="20"/>
          <w:lang w:val="el-GR" w:eastAsia="en-GB"/>
        </w:rPr>
        <w:t>.</w:t>
      </w:r>
    </w:p>
    <w:p w14:paraId="6B59349D" w14:textId="6698CE78"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233</w:t>
      </w:r>
    </w:p>
    <w:p w14:paraId="584461A5"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Πειθαρχική ευθύνη</w:t>
      </w:r>
    </w:p>
    <w:p w14:paraId="5262E576"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w:t>
      </w:r>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 xml:space="preserve"> Την πειθαρχική δικαιοδοσία ως προς τους περιφερειάρχες, αντιπεριφερειάρχες, περιφερειακούς συμβούλους, δημάρχους, αντιδημάρχους, δημοτικούς συμβούλους, προέδρους κοινοτήτων και συμβούλους κοινότητας, η οποία αφορά παραβάσεις των καθηκόντων τους, ασκεί ο Επόπτης Ο.Τ.Α.</w:t>
      </w:r>
    </w:p>
    <w:p w14:paraId="3709B6A3"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Στους αιρετούς της παραγράφου 1 επιβάλλονται οι πειθαρχικές ποινές της αργίας έως έξι (6) μηνών και της έκπτωσης.</w:t>
      </w:r>
    </w:p>
    <w:p w14:paraId="0AB04BBB"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3. Ο Επόπτης Ο.Τ.Α. μπορεί να επιβάλλει τις πειθαρχικές ποινές της προηγούμενης παραγράφου στους αιρετούς που αναφέρονται σε αυτή:</w:t>
      </w:r>
    </w:p>
    <w:p w14:paraId="28560779"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α. αν έχουν διαπράξει σοβαρή παράβαση των καθηκόντων τους ή υπέρβαση της αρμοδιότητάς τους από δόλο ή βαριά αμέλεια,</w:t>
      </w:r>
    </w:p>
    <w:p w14:paraId="07696BD3"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β. αν έχουν διαπράξει παραβάσεις των καθηκόντων που τους έχουν ανατεθεί σύμφωνα με ειδικές νομοθετικές ρυθμίσεις.</w:t>
      </w:r>
    </w:p>
    <w:p w14:paraId="725A4056"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4. Οι πειθαρχικές ποινές της παραγράφου 2 επιβάλλονται ύστερα από προηγούμενη τήρηση της διαδικασίας του άρθρου 234.</w:t>
      </w:r>
    </w:p>
    <w:p w14:paraId="422BE370" w14:textId="67A08883" w:rsidR="00481CD2" w:rsidRDefault="00481CD2" w:rsidP="00B20FAC">
      <w:pPr>
        <w:shd w:val="clear" w:color="auto" w:fill="FFFFFF"/>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5. Τα πειθαρχικά παραπτώματα της παραγράφου 3 υπόκεινται σε πενταετή παραγραφή, η οποία αρχίζει από την ημέρα που διαπράχθηκαν</w:t>
      </w:r>
      <w:r w:rsidR="00B76A6B" w:rsidRPr="00B20FAC">
        <w:rPr>
          <w:rFonts w:ascii="Verdana" w:eastAsia="Times New Roman" w:hAnsi="Verdana" w:cs="Arial"/>
          <w:sz w:val="20"/>
          <w:szCs w:val="20"/>
          <w:lang w:val="el-GR" w:eastAsia="en-GB"/>
        </w:rPr>
        <w:t>.</w:t>
      </w:r>
    </w:p>
    <w:p w14:paraId="28C10AC4" w14:textId="1827EBAA"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234</w:t>
      </w:r>
    </w:p>
    <w:p w14:paraId="10C6DB32"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Πειθαρχική διαδικασία</w:t>
      </w:r>
    </w:p>
    <w:p w14:paraId="37D3C669"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lastRenderedPageBreak/>
        <w:t>1. Οι πειθαρχικές ποινές της αργίας και της έκπτωσης επιβάλλονται με αιτιολογημένη απόφαση του Επόπτη Ο.Τ.Α., αφού προηγηθεί απολογία του εγκαλουμένου ή παρέλθει η προθεσμία που έχει τάξει ο Επόπτης Ο.Τ.Α. με γραπτή κλήση στον εγκαλούμενο, χωρίς ο τελευταίος να έχει απολογηθεί. Η προθεσμία αυτή δεν μπορεί να είναι μικρότερη από δέκα (10) ημέρες.</w:t>
      </w:r>
    </w:p>
    <w:p w14:paraId="526F7B4B"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Για την επιβολή των πειθαρχικών ποινών της αργίας και τη διάρκειά της, καθώς και της έκπτωσης απαιτείται σύμφωνη γνώμη πειθαρχικού συμβουλίου, το οποίο αποτελείται: α) από έναν πρόεδρο Εφετών του Διοικητικού Εφετείου στο οποίο υπάγεται η έδρα της ΑΥΕ Ο.Τ.Α. ή το νόμιμο αναπληρωτή του, ως πρόεδρο, β) δύο δικαστές με το βαθμό του Εφέτη που υπηρετούν στο ανωτέρω Διοικητικό Εφετείο, με τους αναπληρωτές τους, γ) δύο δικαστές με το βαθμό του Εφέτη που υπηρετούν στο Εφετείο στο οποίο υπάγεται η έδρα της ΑΥΕ Ο.Τ.Α., με τους αναπληρωτές τους, δ) έναν Προϊστάμενο Διεύθυνσης του Υπουργείου Εσωτερικών, με τον αναπληρωτή του και ε) τρεις αιρετούς εκπροσώπους της οικείας Περιφερειακής Ένωσης Δήμων, όταν ελέγχεται πειθαρχικά αιρετός δήμων ή της Ένωσης Περιφερειών, όταν ελέγχεται πειθαρχικά αιρετός περιφέρειας, ως μέλη. Γραμματέας του συμβουλίου και αναπληρωτής του ορίζεται με απόφαση του Επόπτη Ο.Τ.Α. υπάλληλος του κλάδου ΠΕ Διοικητικού της ΑΥΕ Ο.Τ.Α.</w:t>
      </w:r>
    </w:p>
    <w:p w14:paraId="19D9BB39"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3. Ο εγκαλούμενος μπορεί να εμφανίζεται αυτοπροσώπως, καθώς και με πληρεξούσιο δικηγόρο ή να εκπροσωπείται από πληρεξούσιο δικηγόρο στο συμβούλιο. Το συμβούλιο συνεδριάζει σε δημόσια συνεδρίαση για την οποία συντάσσονται πρακτικά, μπορεί να εξετάζει μάρτυρες και να εκτιμά οποιοδήποτε πρόσφορο αποδεικτικό μέσο. Η σύμφωνη γνώμη παρέχεται ύστερα από μυστική διάσκεψη, δύο (2) μήνες το αργότερο, αφότου το συμβούλιο έλαβε το σχετικό παραπεμπτικό έγγραφο του Επόπτη Ο.Τ.Α.. Η ποινή πρέπει να είναι ανάλογη με τη βαρύτητα του παραπτώματος, στο οποίο έχει υποπέσει ο εγκαλούμενος.</w:t>
      </w:r>
    </w:p>
    <w:p w14:paraId="50F03E6A"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4. Σε περίπτωση παραπομπής στο πειθαρχικό συμβούλιο, το παραπεμπτήριο προς αυτό έγγραφο πρέπει να είναι αιτιολογημένο και να διαλαμβάνει πρόταση επί της ποινής, αφού ληφθεί υπόψη η απολογία του πειθαρχικώς διωκόμενου. Το παραπεμπτήριο έγγραφο δεν ανακαλείται.</w:t>
      </w:r>
    </w:p>
    <w:p w14:paraId="2B975801"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5. Το πειθαρχικό συμβούλιο μπορεί: α) να παράσχει σύμφωνη γνώμη ως προς την πρόταση του Επόπτη, β) να μην παράσχει σύμφωνη γνώμη, εφόσον κρίνει ότι δεν συντρέχει πειθαρχική ευθύνη του ελεγχόμενου και γ) να προτείνει στον Επόπτη την επιβολή ηπιότερης ή αυστηρότερης ποινής. Στην περίπτωση γ΄ η πρόταση του πειθαρχικού συμβουλίου είναι υποχρεωτική για τον Επόπτη.</w:t>
      </w:r>
    </w:p>
    <w:p w14:paraId="6817DCA0"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6. Τα δικαστικά μέλη του συμβουλίου της παραγράφου 2 ορίζονται με απόφαση του οργάνου που διευθύνει το οικείο δικαστήριο, ύστερα από αίτημα του Επόπτη Ο.Τ.Α.. Με την ίδια απόφαση ορίζονται και τα αναπληρωματικά μέλη, εφόσον ο αριθμός αυτών που υπηρετούν είναι επαρκής.</w:t>
      </w:r>
    </w:p>
    <w:p w14:paraId="7677E427"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7. Οι αιρετοί εκπρόσωποι της οικείας Περιφερειακής Ένωσης Δήμων ή οι αιρετοί εκπρόσωποι της Ένωσης Περιφερειών μαζί με τους αναπληρωτές τους ορίζονται από το Διοικητικό Συμβούλιο της οικείας Ένωσης.</w:t>
      </w:r>
    </w:p>
    <w:p w14:paraId="707899E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8. Ο Προϊστάμενος Διεύθυνσης του Υπουργείου Εσωτερικών, μαζί με τον αναπληρωτή του, ορίζονται από τον Υπουργό Εσωτερικών.</w:t>
      </w:r>
    </w:p>
    <w:p w14:paraId="5DB66A12"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 xml:space="preserve">9. Το συμβούλιο της παραγράφου 2 συγκροτείται για δύο (2) χρόνια με απόφαση του Επόπτη Ο.Τ.Α. και το αργότερο εντός δύο (2) μηνών από τη λήξη της θητείας του προηγούμενου. Τα αρμόδια όργανα για τον ορισμό μελών στο πειθαρχικό συμβούλιο, </w:t>
      </w:r>
      <w:r w:rsidRPr="00B20FAC">
        <w:rPr>
          <w:rFonts w:ascii="Verdana" w:eastAsia="Times New Roman" w:hAnsi="Verdana" w:cs="Arial"/>
          <w:sz w:val="20"/>
          <w:szCs w:val="20"/>
          <w:lang w:val="el-GR" w:eastAsia="en-GB"/>
        </w:rPr>
        <w:lastRenderedPageBreak/>
        <w:t>σύμφωνα με την παράγραφο 6, οφείλουν να ορίσουν αυτά εντός ενός μήνα από την υποβολή του αιτήματος του Επόπτη.</w:t>
      </w:r>
    </w:p>
    <w:p w14:paraId="5AE4298A" w14:textId="60669E99"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10. Ο ενδιαφερόμενος μπορεί μέσα σε τριάντα (30) ημέρες από την κοινοποίηση της απόφασης του Επόπτη Ο.Τ.Α. να προσφύγει κατ’ αυτής στο Συμβούλιο της Επικρατείας, το οποίο κρίνει την υπόθεση και κατ’ ουσίαν. Η προθεσμία για την άσκηση της προσφυγής αναστέλλει την εκτέλεση της απόφασης που επιβάλλει την ποινή. Αν ασκηθεί η προσφυγή στο Συμβούλιο της Επικρατείας, η επιτροπή αναστολών του δικαστηρίου, ύστερα από αίτηση του προσφεύγοντος, κρίνει για τη χορήγηση ή μη αναστολής εκτέλεσης της ποινής σταθμίζοντας και τη συνδρομή του δημόσιου συμφέροντος. Σε περίπτωση κατάθεσης αίτησης αναστολής, η ποινή που έχει επιβληθεί δεν εκτελείται εωσότου εκδοθεί η απόφαση της επιτροπής αναστολών</w:t>
      </w:r>
      <w:r w:rsidR="00B76A6B" w:rsidRPr="00B20FAC">
        <w:rPr>
          <w:rFonts w:ascii="Verdana" w:eastAsia="Times New Roman" w:hAnsi="Verdana" w:cs="Arial"/>
          <w:sz w:val="20"/>
          <w:szCs w:val="20"/>
          <w:lang w:val="el-GR" w:eastAsia="en-GB"/>
        </w:rPr>
        <w:t xml:space="preserve">. </w:t>
      </w:r>
    </w:p>
    <w:p w14:paraId="7E1A81CC" w14:textId="0D2CDDD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235</w:t>
      </w:r>
    </w:p>
    <w:p w14:paraId="59F27A2D"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Ιδιάζουσα δωσιδικία - Εξαίρεση από τη συνοπτική διαδικασία</w:t>
      </w:r>
    </w:p>
    <w:p w14:paraId="4645EEFB"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Οι δήμαρχοι, οι περιφερειάρχες, καθώς και οι πρόεδροι των συνδέσμων υπάγονται στην ιδιάζουσα δωσιδικία της παραγράφου 6 του άρθρου 111 και της παραγράφου 2 του άρθρου 112 του Κώδικα Ποινικής Δικονομίας.</w:t>
      </w:r>
    </w:p>
    <w:p w14:paraId="26D7A781" w14:textId="14955A85"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Για τα πταίσματα ή πλημμελήματα των αιρετών της προηγούμενης παραγράφου, τα οποία διαπράττονται κατά την άσκηση των καθηκόντων τους και εξαιτίας αυτών, δεν εφαρμόζονται οι διατάξεις των άρθρων 409 έως 413 και 417 έως 427 του Κώδικα Ποινικής Δικονομίας, όπως ισχύουν κάθε φορά</w:t>
      </w:r>
    </w:p>
    <w:p w14:paraId="3A41BD88" w14:textId="40BE5C42"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236</w:t>
      </w:r>
    </w:p>
    <w:p w14:paraId="0710D0B1"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Έκπτωση εξαιτίας καταδίκης</w:t>
      </w:r>
    </w:p>
    <w:p w14:paraId="2B22D850"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Οι περιφερειάρχες, οι αντιπεριφερειάρχες, οι δήμαρχοι, οι δημοτικοί και περιφερειακοί σύμβουλοι, οι πρόεδροι κοινοτήτων και τα μέλη συμβουλίων κοινότητας εκπίπτουν αυτοδικαίως από το αξίωμά τους:</w:t>
      </w:r>
    </w:p>
    <w:p w14:paraId="72D14FD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α. Αν τεθούν σε δικαστική συμπαράσταση με τελεσίδικη δικαστική απόφαση.</w:t>
      </w:r>
    </w:p>
    <w:p w14:paraId="62F223E8"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β. Αν στερηθούν τα πολιτικά τους δικαιώματα με αμετάκλητη δικαστική απόφαση.</w:t>
      </w:r>
    </w:p>
    <w:p w14:paraId="7E586BE5"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γ. Αν καταδικαστούν με αμετάκλητη δικαστική απόφαση, ως αυτουργοί ή συμμέτοχοι σε κακούργημα ή σε οποιαδήποτε ποινή για παραχάραξη, κιβδηλεία, πλαστογραφία, ψευδή βεβαίωση, δωροδοκία, εκβίαση, κλοπή, υπεξαίρεση, απιστία, απάτη, καταπίεση, αιμομιξία, μαστροπεία, σωματεμπορία, παράνομη διακίνηση αλλοδαπών, παράβαση της νομοθεσίας για την καταπολέμηση των ναρκωτικών, τη λαθρεμπορία, καθώς και για παράβαση καθήκοντος, εφόσον κατά τη διάπραξη του τελευταίου αυτού αδικήματος προκαλείται οικονομική βλάβη στο δήμο, στην περιφέρεια ή στα νομικά τους πρόσωπα.</w:t>
      </w:r>
    </w:p>
    <w:p w14:paraId="2130309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Για την έκπτωση εκδίδεται διαπιστωτική πράξη του Επόπτη Ο.Τ.Α., εντός δεκαπέντε (15) ημερών από τότε που έλαβε γνώση της σχετικής δικαστικής απόφασης. Η διαπιστωτική πράξη ανατρέχει στην ημερομηνία κατά την οποία η σχετική δικαστική απόφαση κατέστη τελεσίδικη ή αμετάκλητη, σύμφωνα με τις προϋποθέσεις που ισχύουν για κάθε περίπτωση της παραγράφου 1.</w:t>
      </w:r>
    </w:p>
    <w:p w14:paraId="50C60420" w14:textId="51450425" w:rsidR="00B76A6B" w:rsidRDefault="00481CD2" w:rsidP="00B20FAC">
      <w:pPr>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lastRenderedPageBreak/>
        <w:t>3. Με την επιμέλεια της αρμόδιας Εισαγγελίας κοινοποιείται στον οικείο Επόπτη Ο.Τ.Α. κάθε καταδικαστική απόφαση σε βάρος των προσώπων της παραγράφου 1 για τα ποινικά αδικήματα της περίπτωσης γ΄ της παραγράφου αυτής. Ο Επόπτης Ο.Τ.Α. μπορεί να λαμβάνει από την Εισαγγελία κάθε αναγκαία πληροφορία σχετικά με την πορεία της υπόθεσης, όπως η τελεσιδικία ή το αμετάκλητο αυτής, καθώς και αντίγραφα των αποφάσεων και των πρακτικών</w:t>
      </w:r>
    </w:p>
    <w:p w14:paraId="70374D3B" w14:textId="77777777" w:rsidR="00F32C57" w:rsidRPr="00B20FAC" w:rsidRDefault="00F32C57" w:rsidP="00B20FAC">
      <w:pPr>
        <w:spacing w:before="100" w:beforeAutospacing="1" w:after="0" w:line="255" w:lineRule="atLeast"/>
        <w:jc w:val="both"/>
        <w:rPr>
          <w:rFonts w:ascii="Verdana" w:eastAsia="Times New Roman" w:hAnsi="Verdana" w:cs="Arial"/>
          <w:sz w:val="20"/>
          <w:szCs w:val="20"/>
          <w:lang w:val="el-GR" w:eastAsia="en-GB"/>
        </w:rPr>
      </w:pPr>
    </w:p>
    <w:p w14:paraId="335D9876" w14:textId="38286926" w:rsidR="00481CD2" w:rsidRPr="00F32C57" w:rsidRDefault="00481CD2" w:rsidP="00B20FAC">
      <w:pPr>
        <w:spacing w:before="100" w:beforeAutospacing="1" w:after="0" w:line="255" w:lineRule="atLeast"/>
        <w:jc w:val="both"/>
        <w:rPr>
          <w:rFonts w:ascii="Arial" w:eastAsia="Times New Roman" w:hAnsi="Arial" w:cs="Arial"/>
          <w:b/>
          <w:bCs/>
          <w:sz w:val="20"/>
          <w:szCs w:val="20"/>
          <w:lang w:val="el-GR" w:eastAsia="en-GB"/>
        </w:rPr>
      </w:pPr>
      <w:r w:rsidRPr="00F32C57">
        <w:rPr>
          <w:rFonts w:ascii="Verdana" w:eastAsia="Times New Roman" w:hAnsi="Verdana" w:cs="Arial"/>
          <w:b/>
          <w:bCs/>
          <w:sz w:val="20"/>
          <w:szCs w:val="20"/>
          <w:lang w:val="el-GR" w:eastAsia="en-GB"/>
        </w:rPr>
        <w:t>Αρθρο 236Α</w:t>
      </w:r>
    </w:p>
    <w:p w14:paraId="28AEB7A4" w14:textId="77777777" w:rsidR="00481CD2" w:rsidRPr="00B20FAC" w:rsidRDefault="00481CD2" w:rsidP="00B20FAC">
      <w:pPr>
        <w:spacing w:before="100" w:beforeAutospacing="1" w:after="0" w:line="261"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Διοικητικά μέτρα - Αργία</w:t>
      </w:r>
    </w:p>
    <w:p w14:paraId="51C7E113" w14:textId="77777777" w:rsidR="00481CD2" w:rsidRPr="00B20FAC" w:rsidRDefault="00481CD2" w:rsidP="00B20FAC">
      <w:pPr>
        <w:spacing w:before="100" w:beforeAutospacing="1" w:after="0" w:line="261"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Εάν εκδοθεί τελεσίδικη καταδικαστική απόφαση ποινικού δικαστηρίου, για τα πλημμελήματα της περ. γ' της παρ. 1 του άρθρου 236 ή καταδικαστική απόφαση σε πρώτο βαθμό για κακουργήματα, ο Επόπτης Ο.Τ.Α. οφείλει να θέσει τον καταδικασθέντα σε κατάσταση αργίας. Η αυτοδίκαιη θέση σε αργία επιβάλλεται με την ίδια διαδικασία και σε περίπτωση αμετάκλητης παραπομπής για κακούργημα, εφόσον έχουν επιβληθεί περιοριστικοί όροι ή προσωρινή κράτηση. Μεταγενέστερη άρση των περιοριστικών όρων ή της προσωρινής κράτησης, κατά τη διάρκεια της εκκρεμοδικίας, αίρει αυτοδικαίως την αργία του αιρετού που παραπέμφθηκε για κακούργημα. Εάν εκδοθεί τελεσίδικη αθωωτική απόφαση, αίρεται αυτοδικαίως η αργία και το διοικητικό μέτρο θεωρείται ως ουδέποτε επιβληθέν. Στην περίπτωση αυτήν καταβάλλεται αναδρομικά η αντιμισθία του αποκατασταθέντος από τον χρόνο έκδοσης της διαπιστωτικής σε βάρος του πράξης.</w:t>
      </w:r>
    </w:p>
    <w:p w14:paraId="6DA2A9E4" w14:textId="33FC6612" w:rsidR="00481CD2" w:rsidRDefault="00481CD2" w:rsidP="00B20FAC">
      <w:pPr>
        <w:spacing w:before="100" w:beforeAutospacing="1" w:after="0" w:line="240" w:lineRule="auto"/>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2. Κατά τα λοιπά εφαρμόζονται αναλόγως οι παράγραφοι 2 και 3 του άρθρου 236. Στην περίπτωση, που η αργία επιβάλλεται λόγω αμετάκλητης παραπομπής για κακούργημα, όπου στις παραγράφους αυτές αναφέρεται ο δικαστής, εννοείται ο Εισαγγελέας που χειρίζεται την υπόθεση, ενώ όπου αναφέρεται η δικαστική απόφαση, εννοείται το βούλευμα ή το κλητήριο θέσπισμα, με βάση το οποίο παραπέμπεται στο ακροατήριο η υπόθεση</w:t>
      </w:r>
      <w:r w:rsidR="00B76A6B" w:rsidRPr="00B20FAC">
        <w:rPr>
          <w:rFonts w:ascii="Verdana" w:eastAsia="Times New Roman" w:hAnsi="Verdana" w:cs="Arial"/>
          <w:sz w:val="20"/>
          <w:szCs w:val="20"/>
          <w:lang w:val="el-GR" w:eastAsia="en-GB"/>
        </w:rPr>
        <w:t xml:space="preserve">. </w:t>
      </w:r>
    </w:p>
    <w:p w14:paraId="3CF78146" w14:textId="414BC6B5"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237</w:t>
      </w:r>
    </w:p>
    <w:p w14:paraId="7E272B80"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Παύση</w:t>
      </w:r>
    </w:p>
    <w:p w14:paraId="3FBCBBD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 xml:space="preserve">1. Περιφερειάρχες, αντιπεριφερειάρχες, δήμαρχοι, αντιδήμαρχοι, δημοτικοί και περιφερειακοί σύμβουλοι, πρόεδροι κοινοτήτων και μέλη συμβουλίων κοινότητας επιτρέπεται να παυθούν για σοβαρούς λόγους δημόσιου συμφέροντος, με απόφαση του Υπουργού Εσωτερικών ύστερα από ειδικά αιτιολογημένη έκθεση του οικείου Επόπτη Ο.Τ.Α. και σύμφωνη γνώμη πειθαρχικού συμβουλίου, το οποίο αποτελείται: α) από έναν πρόεδρο Διοικητικού Εφετείου Αθηνών, ως πρόεδρο, με τον αναπληρωτή του, β) δύο εφέτες, που έχουν τριετή τουλάχιστον υπηρεσία στο βαθμό αυτόν και υπηρετούν στο Διοικητικό Εφετείο Αθηνών, με τους αναπληρωτές τους, γ) δύο εφέτες, που έχουν τριετή τουλάχιστον υπηρεσία στο βαθμό αυτόν και υπηρετούν στο Εφετείο Αθηνών, με τους αναπληρωτές τους, δ) έναν προϊστάμενο Γενικής Διεύθυνσης του Υπουργείου Εσωτερικών, με τον αναπληρωτή του και ε) τον πρόεδρο της Κεντρικής Ένωσης Δήμων Ελλάδας, προκειμένου για τους αιρετούς των δήμων, ή τον πρόεδρο της Ένωσης Περιφερειών Ελλάδας, προκειμένου για τους αιρετούς των περιφερειών, με τους αναπληρωτές τους. Τα δικαστικά μέλη του συμβουλίου, τακτικά και αναπληρωματικά, ορίζονται από το όργανο που διευθύνει το οικείο δικαστήριο. Ο ανωτέρω προϊστάμενος της Γενικής Διεύθυνσης και ο αναπληρωτής του ορίζονται από τον Υπουργό Εσωτερικών. Οι αναπληρωτές του προέδρου της Κεντρικής Ένωσης Δήμων Ελλάδας και του προέδρου της Ένωσης Περιφερειών Ελλάδας ορίζονται από </w:t>
      </w:r>
      <w:r w:rsidRPr="00B20FAC">
        <w:rPr>
          <w:rFonts w:ascii="Verdana" w:eastAsia="Times New Roman" w:hAnsi="Verdana" w:cs="Arial"/>
          <w:sz w:val="20"/>
          <w:szCs w:val="20"/>
          <w:lang w:val="el-GR" w:eastAsia="en-GB"/>
        </w:rPr>
        <w:lastRenderedPageBreak/>
        <w:t>το Διοικητικό Συμβούλιο αυτών. Το πειθαρχικό συμβούλιο συγκροτείται με απόφαση του Υπουργού Εσωτερικών με θητεία δύο (2) ετών.</w:t>
      </w:r>
    </w:p>
    <w:p w14:paraId="468022EB"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2. Για τον ίδιο λόγο και με την ίδια διαδικασία, μπορεί να διαλυθεί ένα δημοτικό ή περιφερειακό συμβούλιο. Η διάλυση αυτή επιφέρει και τη διάλυση των συμβουλίων των κοινοτήτων, καθώς και την παύση των προέδρων των κοινοτήτων με μόνιμο πληθυσμό έως 300 κατοίκους. Στην περίπτωση αυτή γίνεται νέα εκλογή σύμφωνα με το άρθρο 56, εφόσον πρόκειται για δημοτικό συμβούλιο, ή το άρθρο 158 εφόσον πρόκειται για περιφερειακό συμβούλιο.</w:t>
      </w:r>
    </w:p>
    <w:p w14:paraId="3CC86118"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3. Κατά της απόφασης της παραγράφου 1 που διατάσσει την παύση, ο παυθείς μπορεί να ασκήσει προσφυγή στο Συμβούλιο της Επικρατείας εντός προθεσμίας δεκαπέντε (15) ημερών από την κοινοποίησή της σε αυτόν.</w:t>
      </w:r>
    </w:p>
    <w:p w14:paraId="6E41B9B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4. Καθήκοντα γραμματέα του συμβουλίου της παραγράφου 1 εκτελεί υπάλληλος της κεντρικής υπηρεσίας του Υπουργείου Εσωτερικών του κλάδου ΠΕ Διοικητικού με βαθμό Α΄, που ορίζεται μαζί με τον αναπληρωτή του από τον Υπουργό Εσωτερικών.</w:t>
      </w:r>
    </w:p>
    <w:p w14:paraId="6A7FC108" w14:textId="13A75848" w:rsidR="00675893" w:rsidRDefault="00481CD2" w:rsidP="00B20FAC">
      <w:pPr>
        <w:shd w:val="clear" w:color="auto" w:fill="FFFFFF"/>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5. Οι διατάξεις των παραγράφων 1, 3 και 10 του άρθρου 234 εφαρμόζονται αναλόγως</w:t>
      </w:r>
    </w:p>
    <w:p w14:paraId="4C36AC26" w14:textId="1312EE0A"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Άρθρο 238</w:t>
      </w:r>
    </w:p>
    <w:p w14:paraId="687700D3"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b/>
          <w:bCs/>
          <w:sz w:val="20"/>
          <w:szCs w:val="20"/>
          <w:lang w:val="el-GR" w:eastAsia="en-GB"/>
        </w:rPr>
        <w:t>Εποπτεία των Ο.Τ.Α. μέχρι την έναρξη λειτουργίας της ΑΥΕ Ο.Τ.Α. - Μετάταξη στην ΑΥΕ Ο.Τ.Α. προσωπικού των Αποκεντρωμένων Διοικήσεων - Έναρξη λειτουργίας ΑΥΕ Ο.Τ.Α.</w:t>
      </w:r>
    </w:p>
    <w:p w14:paraId="38678262"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1. Μέχρι την έναρξη λειτουργίας της ΑΥΕ Ο.Τ.Α. ο έλεγχος νομιμότητας των πράξεων, κατά τα άρθρα 225 έως 227, ασκείται από τον Συντονιστή της οικείας Αποκεντρωμένης Διοίκησης και τις Ειδικές Επιτροπές του άρθρου 152 του Κώδικα Δήμων και Κοινοτήτων (</w:t>
      </w:r>
      <w:hyperlink r:id="rId21" w:tgtFrame="_blank" w:history="1">
        <w:r w:rsidRPr="00B20FAC">
          <w:rPr>
            <w:rFonts w:ascii="Verdana" w:eastAsia="Times New Roman" w:hAnsi="Verdana" w:cs="Arial"/>
            <w:sz w:val="20"/>
            <w:szCs w:val="20"/>
            <w:u w:val="single"/>
            <w:lang w:val="el-GR" w:eastAsia="en-GB"/>
          </w:rPr>
          <w:t>ν. 3463/2006</w:t>
        </w:r>
      </w:hyperlink>
      <w:r w:rsidRPr="00B20FAC">
        <w:rPr>
          <w:rFonts w:ascii="Verdana" w:eastAsia="Times New Roman" w:hAnsi="Verdana" w:cs="Arial"/>
          <w:sz w:val="20"/>
          <w:szCs w:val="20"/>
          <w:lang w:val="el-GR" w:eastAsia="en-GB"/>
        </w:rPr>
        <w:t>, Α΄ 114), οι οποίες βρίσκονται στις έδρες των περιφερειών που ανήκουν στην ανωτέρω Αποκεντρωμένη Διοίκηση, καθώς και τις Επιτροπές Ελέγχου των Πράξεων του άρθρου 68 του Κώδικα Νομαρχιακής Αυτοδιοίκησης (</w:t>
      </w:r>
      <w:hyperlink r:id="rId22" w:tgtFrame="_blank" w:history="1">
        <w:r w:rsidRPr="00B20FAC">
          <w:rPr>
            <w:rFonts w:ascii="Verdana" w:eastAsia="Times New Roman" w:hAnsi="Verdana" w:cs="Arial"/>
            <w:sz w:val="20"/>
            <w:szCs w:val="20"/>
            <w:u w:val="single"/>
            <w:lang w:val="el-GR" w:eastAsia="en-GB"/>
          </w:rPr>
          <w:t>π.δ. 30/1996</w:t>
        </w:r>
      </w:hyperlink>
      <w:r w:rsidRPr="00B20FAC">
        <w:rPr>
          <w:rFonts w:ascii="Verdana" w:eastAsia="Times New Roman" w:hAnsi="Verdana" w:cs="Arial"/>
          <w:sz w:val="20"/>
          <w:szCs w:val="20"/>
          <w:lang w:val="el-GR" w:eastAsia="en-GB"/>
        </w:rPr>
        <w:t>, Α΄ 21), που βρίσκονται στην έδρα της οικείας Αποκεντρωμένης Διοίκησης.</w:t>
      </w:r>
    </w:p>
    <w:p w14:paraId="7601BA5F"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Οι επιτροπές αυτές συγκροτούνται με απόφαση του Συντονιστή της οικείας Αποκεντρωμένης Διοίκησης.</w:t>
      </w:r>
    </w:p>
    <w:p w14:paraId="3B57C75F" w14:textId="18657302" w:rsidR="00481CD2" w:rsidRPr="00B20FAC" w:rsidRDefault="00481CD2" w:rsidP="00B20FAC">
      <w:pPr>
        <w:spacing w:before="100" w:beforeAutospacing="1" w:after="0" w:line="255" w:lineRule="atLeast"/>
        <w:jc w:val="both"/>
        <w:rPr>
          <w:rFonts w:ascii="Verdana" w:eastAsia="Times New Roman" w:hAnsi="Verdana" w:cs="Arial"/>
          <w:sz w:val="20"/>
          <w:szCs w:val="20"/>
          <w:lang w:val="el-GR" w:eastAsia="en-GB"/>
        </w:rPr>
      </w:pPr>
      <w:r w:rsidRPr="00B20FAC">
        <w:rPr>
          <w:rFonts w:ascii="Verdana" w:eastAsia="Times New Roman" w:hAnsi="Verdana" w:cs="Arial"/>
          <w:sz w:val="20"/>
          <w:szCs w:val="20"/>
          <w:lang w:val="el-GR" w:eastAsia="en-GB"/>
        </w:rPr>
        <w:t>2. Όπου στα ανωτέρω άρθρα αναφέρεται ο Επόπτης Ο.Τ.Α., κατά το μεταβατικό διάστημα, νοείται ο Συντονιστής της οικείας Αποκεντρωμένης Διοίκησης. Όπου αναφέρεται ο Προϊστάμενος της Διεύθυνσης Εποπτείας Ο.Τ.Α. της ΑΥΕ Ο.Τ.Α., νοείται ο Προϊστάμενος της Γενικής Διεύθυνσης Εσωτερικής Λειτουργίας ή της αντίστοιχης Διεύθυνσης στην οποία υπάγεται η εποπτεία των Ο.Τ.Α. της οικείας Αποκεντρωμένης Διοίκησης. Όπου αναφέρεται υπάλληλος της ΑΥΕ Ο.Τ.Α., νοείται υπάλληλος της οικείας Αποκεντρωμένης Διοίκησης.</w:t>
      </w:r>
    </w:p>
    <w:p w14:paraId="06F9E387" w14:textId="440BE59B" w:rsidR="00675893" w:rsidRPr="00021003" w:rsidRDefault="00675893" w:rsidP="00B20FAC">
      <w:pPr>
        <w:spacing w:before="100" w:beforeAutospacing="1" w:after="0" w:line="255" w:lineRule="atLeast"/>
        <w:jc w:val="both"/>
        <w:rPr>
          <w:rFonts w:ascii="Arial" w:eastAsia="Times New Roman" w:hAnsi="Arial" w:cs="Arial"/>
          <w:sz w:val="20"/>
          <w:szCs w:val="20"/>
          <w:lang w:val="el-GR" w:eastAsia="en-GB"/>
        </w:rPr>
      </w:pPr>
      <w:r w:rsidRPr="00021003">
        <w:rPr>
          <w:rFonts w:ascii="Verdana" w:eastAsia="Times New Roman" w:hAnsi="Verdana" w:cs="Arial"/>
          <w:sz w:val="20"/>
          <w:szCs w:val="20"/>
          <w:lang w:val="el-GR" w:eastAsia="en-GB"/>
        </w:rPr>
        <w:t>3….</w:t>
      </w:r>
    </w:p>
    <w:p w14:paraId="57FA4C24"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4. Η έναρξη λειτουργίας κάθε Αυτοτελούς Υπηρεσίας Εποπτείας Ο.Τ.Α. διαπιστώνεται με απόφαση του Υπουργού Εσωτερικών.</w:t>
      </w:r>
    </w:p>
    <w:p w14:paraId="3847F332"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 xml:space="preserve">5. Οι πράξεις των δήμων, των περιφερειών, των νομικών προσώπων δημοσίου δικαίου αυτών, των επιχειρήσεων τους, των συνδέσμων, καθώς και προσφυγές που εκκρεμούν προς έλεγχο νομιμότητας και εκκρεμείς πειθαρχικές διώξεις, κατά το χρόνο έναρξης λειτουργίας της ΑΥΕ Ο.Τ.Α. ενώπιον του Συντονιστή Αποκεντρωμένης Διοίκησης και των </w:t>
      </w:r>
      <w:r w:rsidRPr="00B20FAC">
        <w:rPr>
          <w:rFonts w:ascii="Verdana" w:eastAsia="Times New Roman" w:hAnsi="Verdana" w:cs="Arial"/>
          <w:sz w:val="20"/>
          <w:szCs w:val="20"/>
          <w:lang w:val="el-GR" w:eastAsia="en-GB"/>
        </w:rPr>
        <w:lastRenderedPageBreak/>
        <w:t>ανωτέρω Επιτροπών, διαβιβάζονται στην ΑΥΕ Ο.Τ.Α. και οι σχετικές προθεσμίες αρχίζουν από την περιέλευσή τους στην εν λόγω Υπηρεσία.</w:t>
      </w:r>
    </w:p>
    <w:p w14:paraId="3B499124" w14:textId="77777777" w:rsidR="00481CD2" w:rsidRPr="00B20FAC" w:rsidRDefault="00481CD2" w:rsidP="00B20FAC">
      <w:pPr>
        <w:spacing w:before="100" w:beforeAutospacing="1" w:after="0" w:line="255" w:lineRule="atLeast"/>
        <w:jc w:val="both"/>
        <w:rPr>
          <w:rFonts w:ascii="Arial" w:eastAsia="Times New Roman" w:hAnsi="Arial" w:cs="Arial"/>
          <w:sz w:val="20"/>
          <w:szCs w:val="20"/>
          <w:lang w:val="el-GR" w:eastAsia="en-GB"/>
        </w:rPr>
      </w:pPr>
      <w:bookmarkStart w:id="1" w:name="_Hlk98020754"/>
      <w:r w:rsidRPr="00B20FAC">
        <w:rPr>
          <w:rFonts w:ascii="Verdana" w:eastAsia="Times New Roman" w:hAnsi="Verdana" w:cs="Arial"/>
          <w:sz w:val="20"/>
          <w:szCs w:val="20"/>
          <w:lang w:val="el-GR" w:eastAsia="en-GB"/>
        </w:rPr>
        <w:t>6. Μέχρι την έναρξη λειτουργίας της ΑΥΕ Ο.Τ.Α. δεν εφαρμόζεται η παράγραφος 6 του άρθρου 227.</w:t>
      </w:r>
    </w:p>
    <w:bookmarkEnd w:id="1"/>
    <w:p w14:paraId="54CCE240" w14:textId="33C2DDFA" w:rsidR="00481CD2" w:rsidRPr="00B20FAC" w:rsidRDefault="00481CD2" w:rsidP="00B20FAC">
      <w:pPr>
        <w:shd w:val="clear" w:color="auto" w:fill="FFFFFF"/>
        <w:spacing w:before="100" w:beforeAutospacing="1" w:after="0" w:line="255" w:lineRule="atLeast"/>
        <w:jc w:val="both"/>
        <w:rPr>
          <w:rFonts w:ascii="Arial" w:eastAsia="Times New Roman" w:hAnsi="Arial" w:cs="Arial"/>
          <w:sz w:val="20"/>
          <w:szCs w:val="20"/>
          <w:lang w:val="el-GR" w:eastAsia="en-GB"/>
        </w:rPr>
      </w:pPr>
      <w:r w:rsidRPr="00B20FAC">
        <w:rPr>
          <w:rFonts w:ascii="Verdana" w:eastAsia="Times New Roman" w:hAnsi="Verdana" w:cs="Arial"/>
          <w:sz w:val="20"/>
          <w:szCs w:val="20"/>
          <w:lang w:val="el-GR" w:eastAsia="en-GB"/>
        </w:rPr>
        <w:t>7. Μέχρι την έναρξη λειτουργίας της ΑΥΕ Ο.Τ.Α. δεν εφαρμόζονται τα άρθρα 124, 125 και 126 του παρόντος</w:t>
      </w:r>
      <w:r w:rsidR="00675893" w:rsidRPr="00B20FAC">
        <w:rPr>
          <w:rFonts w:ascii="Verdana" w:eastAsia="Times New Roman" w:hAnsi="Verdana" w:cs="Arial"/>
          <w:sz w:val="20"/>
          <w:szCs w:val="20"/>
          <w:lang w:val="el-GR" w:eastAsia="en-GB"/>
        </w:rPr>
        <w:t xml:space="preserve"> (Ν. 4255/2018) </w:t>
      </w:r>
      <w:r w:rsidRPr="00B20FAC">
        <w:rPr>
          <w:rFonts w:ascii="Verdana" w:eastAsia="Times New Roman" w:hAnsi="Verdana" w:cs="Arial"/>
          <w:sz w:val="20"/>
          <w:szCs w:val="20"/>
          <w:lang w:val="el-GR" w:eastAsia="en-GB"/>
        </w:rPr>
        <w:t xml:space="preserve"> και εξακολουθούν να ισχύουν τα άρθρα</w:t>
      </w:r>
      <w:r w:rsidRPr="00B20FAC">
        <w:rPr>
          <w:rFonts w:ascii="Verdana" w:eastAsia="Times New Roman" w:hAnsi="Verdana" w:cs="Arial"/>
          <w:sz w:val="20"/>
          <w:szCs w:val="20"/>
          <w:lang w:eastAsia="en-GB"/>
        </w:rPr>
        <w:t> </w:t>
      </w:r>
      <w:hyperlink r:id="rId23" w:tgtFrame="_blank" w:history="1">
        <w:r w:rsidRPr="00B20FAC">
          <w:rPr>
            <w:rFonts w:ascii="Verdana" w:eastAsia="Times New Roman" w:hAnsi="Verdana" w:cs="Arial"/>
            <w:sz w:val="20"/>
            <w:szCs w:val="20"/>
            <w:u w:val="single"/>
            <w:lang w:val="el-GR" w:eastAsia="en-GB"/>
          </w:rPr>
          <w:t>232</w:t>
        </w:r>
      </w:hyperlink>
      <w:r w:rsidRPr="00B20FAC">
        <w:rPr>
          <w:rFonts w:ascii="Verdana" w:eastAsia="Times New Roman" w:hAnsi="Verdana" w:cs="Arial"/>
          <w:sz w:val="20"/>
          <w:szCs w:val="20"/>
          <w:lang w:val="el-GR" w:eastAsia="en-GB"/>
        </w:rPr>
        <w:t>,</w:t>
      </w:r>
      <w:r w:rsidRPr="00B20FAC">
        <w:rPr>
          <w:rFonts w:ascii="Verdana" w:eastAsia="Times New Roman" w:hAnsi="Verdana" w:cs="Arial"/>
          <w:sz w:val="20"/>
          <w:szCs w:val="20"/>
          <w:lang w:eastAsia="en-GB"/>
        </w:rPr>
        <w:t> </w:t>
      </w:r>
      <w:hyperlink r:id="rId24" w:tgtFrame="_blank" w:history="1">
        <w:r w:rsidRPr="00B20FAC">
          <w:rPr>
            <w:rFonts w:ascii="Verdana" w:eastAsia="Times New Roman" w:hAnsi="Verdana" w:cs="Arial"/>
            <w:sz w:val="20"/>
            <w:szCs w:val="20"/>
            <w:u w:val="single"/>
            <w:lang w:val="el-GR" w:eastAsia="en-GB"/>
          </w:rPr>
          <w:t>233</w:t>
        </w:r>
      </w:hyperlink>
      <w:r w:rsidRPr="00B20FAC">
        <w:rPr>
          <w:rFonts w:ascii="Verdana" w:eastAsia="Times New Roman" w:hAnsi="Verdana" w:cs="Arial"/>
          <w:sz w:val="20"/>
          <w:szCs w:val="20"/>
          <w:lang w:val="el-GR" w:eastAsia="en-GB"/>
        </w:rPr>
        <w:t>,</w:t>
      </w:r>
      <w:r w:rsidRPr="00B20FAC">
        <w:rPr>
          <w:rFonts w:ascii="Verdana" w:eastAsia="Times New Roman" w:hAnsi="Verdana" w:cs="Arial"/>
          <w:sz w:val="20"/>
          <w:szCs w:val="20"/>
          <w:lang w:eastAsia="en-GB"/>
        </w:rPr>
        <w:t> </w:t>
      </w:r>
      <w:hyperlink r:id="rId25" w:tgtFrame="_blank" w:history="1">
        <w:r w:rsidRPr="00B20FAC">
          <w:rPr>
            <w:rFonts w:ascii="Verdana" w:eastAsia="Times New Roman" w:hAnsi="Verdana" w:cs="Arial"/>
            <w:sz w:val="20"/>
            <w:szCs w:val="20"/>
            <w:u w:val="single"/>
            <w:lang w:val="el-GR" w:eastAsia="en-GB"/>
          </w:rPr>
          <w:t>234</w:t>
        </w:r>
      </w:hyperlink>
      <w:r w:rsidRPr="00B20FAC">
        <w:rPr>
          <w:rFonts w:ascii="Verdana" w:eastAsia="Times New Roman" w:hAnsi="Verdana" w:cs="Arial"/>
          <w:sz w:val="20"/>
          <w:szCs w:val="20"/>
          <w:lang w:eastAsia="en-GB"/>
        </w:rPr>
        <w:t> </w:t>
      </w:r>
      <w:hyperlink r:id="rId26" w:tgtFrame="_blank" w:history="1">
        <w:r w:rsidRPr="00B20FAC">
          <w:rPr>
            <w:rFonts w:ascii="Verdana" w:eastAsia="Times New Roman" w:hAnsi="Verdana" w:cs="Arial"/>
            <w:sz w:val="20"/>
            <w:szCs w:val="20"/>
            <w:u w:val="single"/>
            <w:lang w:val="el-GR" w:eastAsia="en-GB"/>
          </w:rPr>
          <w:t>του ν. 3852/2010</w:t>
        </w:r>
      </w:hyperlink>
      <w:r w:rsidRPr="00B20FAC">
        <w:rPr>
          <w:rFonts w:ascii="Verdana" w:eastAsia="Times New Roman" w:hAnsi="Verdana" w:cs="Arial"/>
          <w:sz w:val="20"/>
          <w:szCs w:val="20"/>
          <w:lang w:val="el-GR" w:eastAsia="en-GB"/>
        </w:rPr>
        <w:t>. Κατά το μεταβατικό αυτό διάστημα τις αρμοδιότητες του Ελεγκτή Νομιμότητας ασκεί ο Συντονιστής της οικείας Αποκεντρωμένης Διοίκησης. Όπου στις διατάξεις αυτές προβλέπεται η συμμετοχή υπαλλήλου της ΑΥΕ Ο.Τ.Α. ορίζεται, με απόφαση του οικείου Συντονιστή της Αποκεντρωμένης Διοίκησης, υπάλληλος της Αποκεντρωμένης Διοίκησης. Στην κατά το άρθρο</w:t>
      </w:r>
      <w:r w:rsidRPr="00B20FAC">
        <w:rPr>
          <w:rFonts w:ascii="Verdana" w:eastAsia="Times New Roman" w:hAnsi="Verdana" w:cs="Arial"/>
          <w:sz w:val="20"/>
          <w:szCs w:val="20"/>
          <w:lang w:eastAsia="en-GB"/>
        </w:rPr>
        <w:t> </w:t>
      </w:r>
      <w:hyperlink r:id="rId27" w:tgtFrame="_blank" w:history="1">
        <w:r w:rsidRPr="00B20FAC">
          <w:rPr>
            <w:rFonts w:ascii="Verdana" w:eastAsia="Times New Roman" w:hAnsi="Verdana" w:cs="Arial"/>
            <w:sz w:val="20"/>
            <w:szCs w:val="20"/>
            <w:u w:val="single"/>
            <w:lang w:val="el-GR" w:eastAsia="en-GB"/>
          </w:rPr>
          <w:t>232</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παρ. 2</w:t>
      </w:r>
      <w:r w:rsidRPr="00B20FAC">
        <w:rPr>
          <w:rFonts w:ascii="Verdana" w:eastAsia="Times New Roman" w:hAnsi="Verdana" w:cs="Arial"/>
          <w:sz w:val="20"/>
          <w:szCs w:val="20"/>
          <w:lang w:eastAsia="en-GB"/>
        </w:rPr>
        <w:t> </w:t>
      </w:r>
      <w:hyperlink r:id="rId28" w:tgtFrame="_blank" w:history="1">
        <w:r w:rsidRPr="00B20FAC">
          <w:rPr>
            <w:rFonts w:ascii="Verdana" w:eastAsia="Times New Roman" w:hAnsi="Verdana" w:cs="Arial"/>
            <w:sz w:val="20"/>
            <w:szCs w:val="20"/>
            <w:u w:val="single"/>
            <w:lang w:val="el-GR" w:eastAsia="en-GB"/>
          </w:rPr>
          <w:t>του ν. 3852/2010</w:t>
        </w:r>
      </w:hyperlink>
      <w:r w:rsidRPr="00B20FAC">
        <w:rPr>
          <w:rFonts w:ascii="Verdana" w:eastAsia="Times New Roman" w:hAnsi="Verdana" w:cs="Arial"/>
          <w:sz w:val="20"/>
          <w:szCs w:val="20"/>
          <w:lang w:eastAsia="en-GB"/>
        </w:rPr>
        <w:t> </w:t>
      </w:r>
      <w:r w:rsidRPr="00B20FAC">
        <w:rPr>
          <w:rFonts w:ascii="Verdana" w:eastAsia="Times New Roman" w:hAnsi="Verdana" w:cs="Arial"/>
          <w:sz w:val="20"/>
          <w:szCs w:val="20"/>
          <w:lang w:val="el-GR" w:eastAsia="en-GB"/>
        </w:rPr>
        <w:t>ελεγκτική επιτροπή μετέχει, αντί του Ελεγκτή Νομιμότητας, προϊστάμενος Διεύθυνσης της Αποκεντρωμένης Διοίκησης που ορίζεται μαζί με τον αναπληρωτή του από τον οικείο Συντονιστή της Αποκεντρωμένης Διοίκησης</w:t>
      </w:r>
      <w:r w:rsidR="00675893" w:rsidRPr="00B20FAC">
        <w:rPr>
          <w:rFonts w:ascii="Verdana" w:eastAsia="Times New Roman" w:hAnsi="Verdana" w:cs="Arial"/>
          <w:sz w:val="20"/>
          <w:szCs w:val="20"/>
          <w:lang w:val="el-GR" w:eastAsia="en-GB"/>
        </w:rPr>
        <w:t xml:space="preserve">. </w:t>
      </w:r>
    </w:p>
    <w:p w14:paraId="7745CCD2" w14:textId="6A749678" w:rsidR="0070281B" w:rsidRPr="00B20FAC" w:rsidRDefault="0070281B" w:rsidP="00B20FAC">
      <w:pPr>
        <w:shd w:val="clear" w:color="auto" w:fill="FFFFFF"/>
        <w:spacing w:before="100" w:beforeAutospacing="1" w:after="0" w:line="255" w:lineRule="atLeast"/>
        <w:jc w:val="both"/>
        <w:rPr>
          <w:rFonts w:ascii="Arial" w:eastAsia="Times New Roman" w:hAnsi="Arial" w:cs="Arial"/>
          <w:b/>
          <w:bCs/>
          <w:sz w:val="20"/>
          <w:szCs w:val="20"/>
          <w:u w:val="single"/>
          <w:lang w:val="el-GR" w:eastAsia="en-GB"/>
        </w:rPr>
      </w:pPr>
      <w:r w:rsidRPr="00B20FAC">
        <w:rPr>
          <w:rFonts w:ascii="Arial" w:eastAsia="Times New Roman" w:hAnsi="Arial" w:cs="Arial"/>
          <w:b/>
          <w:bCs/>
          <w:u w:val="single"/>
          <w:lang w:eastAsia="en-GB"/>
        </w:rPr>
        <w:t>N</w:t>
      </w:r>
      <w:r w:rsidRPr="00B20FAC">
        <w:rPr>
          <w:rFonts w:ascii="Arial" w:eastAsia="Times New Roman" w:hAnsi="Arial" w:cs="Arial"/>
          <w:b/>
          <w:bCs/>
          <w:u w:val="single"/>
          <w:lang w:val="el-GR" w:eastAsia="en-GB"/>
        </w:rPr>
        <w:t>. 3463/2006 ΚΩΔΙΚΑΣ ΔΗΜΩΝ ΚΑΙ ΚΟΙΝΟΤΗΤΩΝ</w:t>
      </w:r>
      <w:r w:rsidR="00046755">
        <w:rPr>
          <w:rFonts w:ascii="Arial" w:eastAsia="Times New Roman" w:hAnsi="Arial" w:cs="Arial"/>
          <w:b/>
          <w:bCs/>
          <w:u w:val="single"/>
          <w:lang w:val="el-GR" w:eastAsia="en-GB"/>
        </w:rPr>
        <w:t xml:space="preserve"> (ΚΔΚ)</w:t>
      </w:r>
      <w:r w:rsidRPr="00B20FAC">
        <w:rPr>
          <w:rFonts w:ascii="Arial" w:eastAsia="Times New Roman" w:hAnsi="Arial" w:cs="Arial"/>
          <w:b/>
          <w:bCs/>
          <w:u w:val="single"/>
          <w:lang w:val="el-GR" w:eastAsia="en-GB"/>
        </w:rPr>
        <w:t xml:space="preserve"> </w:t>
      </w:r>
    </w:p>
    <w:p w14:paraId="6E4A8B31" w14:textId="3C2AE4D7" w:rsidR="00675893" w:rsidRPr="00B20FAC" w:rsidRDefault="00675893" w:rsidP="00B20FAC">
      <w:pPr>
        <w:shd w:val="clear" w:color="auto" w:fill="FFFFFF"/>
        <w:spacing w:before="100" w:beforeAutospacing="1" w:after="0" w:line="255" w:lineRule="atLeast"/>
        <w:jc w:val="both"/>
        <w:rPr>
          <w:rFonts w:ascii="Arial" w:eastAsia="Times New Roman" w:hAnsi="Arial" w:cs="Arial"/>
          <w:b/>
          <w:bCs/>
          <w:sz w:val="20"/>
          <w:szCs w:val="20"/>
          <w:lang w:val="el-GR" w:eastAsia="en-GB"/>
        </w:rPr>
      </w:pPr>
      <w:r w:rsidRPr="00B20FAC">
        <w:rPr>
          <w:rFonts w:ascii="Verdana" w:hAnsi="Verdana" w:cs="Arial"/>
          <w:sz w:val="20"/>
          <w:szCs w:val="20"/>
          <w:lang w:val="el-GR"/>
        </w:rPr>
        <w:t>(όπου εδώ γίνεται αναφορά σε ΓΓ Περιφέρειας, πρόκειται σήμερα για τον/την Συντονιστή/ίστρια της οικείας Αποκεντρωμένης Διοίκησης)</w:t>
      </w:r>
    </w:p>
    <w:p w14:paraId="25FFA662"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b/>
          <w:bCs/>
          <w:sz w:val="20"/>
          <w:szCs w:val="20"/>
          <w:lang w:val="el-GR"/>
        </w:rPr>
        <w:t>Άρθρο 151</w:t>
      </w:r>
    </w:p>
    <w:p w14:paraId="5B9EBAF7" w14:textId="6F20E36A"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b/>
          <w:bCs/>
          <w:sz w:val="20"/>
          <w:szCs w:val="20"/>
          <w:lang w:val="el-GR"/>
        </w:rPr>
        <w:t>Προσφυγή κατά των αποφάσεων του Γενικού Γραμματέα</w:t>
      </w:r>
      <w:r w:rsidR="00675893" w:rsidRPr="00B20FAC">
        <w:rPr>
          <w:rFonts w:ascii="Verdana" w:hAnsi="Verdana" w:cs="Arial"/>
          <w:b/>
          <w:bCs/>
          <w:sz w:val="20"/>
          <w:szCs w:val="20"/>
          <w:lang w:val="el-GR"/>
        </w:rPr>
        <w:t xml:space="preserve"> </w:t>
      </w:r>
    </w:p>
    <w:p w14:paraId="73778CDD"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lang w:val="el-GR"/>
        </w:rPr>
        <w:t>Οποιοσδήποτε έχει έννομο συμφέρον μπορεί να προσβάλει τις αποφάσεις του Γενικού Γραμματέα που εκδίδονται σύμφωνα με τις διατάξεις των άρθρων 149 και 150, ενώπιον της Ειδικής Επιτροπής του επόμενου άρθρου, εντός προθεσμίας ενός (1) μηνός από την έκδοση της απόφασης ή την κοινοποίησή της ή αφότου έλαβε γνώση αυτής.</w:t>
      </w:r>
    </w:p>
    <w:p w14:paraId="3D93D89B" w14:textId="5EDE5EDB"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Arial" w:hAnsi="Arial" w:cs="Arial"/>
          <w:sz w:val="20"/>
          <w:szCs w:val="20"/>
        </w:rPr>
        <w:t> </w:t>
      </w:r>
      <w:r w:rsidRPr="00B20FAC">
        <w:rPr>
          <w:rFonts w:ascii="Verdana" w:hAnsi="Verdana" w:cs="Arial"/>
          <w:sz w:val="20"/>
          <w:szCs w:val="20"/>
        </w:rPr>
        <w:t> </w:t>
      </w:r>
      <w:bookmarkStart w:id="2" w:name="ΑΡΘΡΟ0152___0152___"/>
      <w:bookmarkEnd w:id="2"/>
      <w:r w:rsidRPr="00B20FAC">
        <w:rPr>
          <w:rFonts w:ascii="Verdana" w:hAnsi="Verdana" w:cs="Arial"/>
          <w:b/>
          <w:bCs/>
          <w:sz w:val="20"/>
          <w:szCs w:val="20"/>
          <w:lang w:val="el-GR"/>
        </w:rPr>
        <w:t>Άρθρο 152</w:t>
      </w:r>
    </w:p>
    <w:p w14:paraId="6BE97E0F"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b/>
          <w:bCs/>
          <w:sz w:val="20"/>
          <w:szCs w:val="20"/>
          <w:lang w:val="el-GR"/>
        </w:rPr>
        <w:t>Ειδική Επιτροπή</w:t>
      </w:r>
    </w:p>
    <w:p w14:paraId="7795F7C9"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lang w:val="el-GR"/>
        </w:rPr>
        <w:t>1. Στην έδρα κάθε Περιφέρειας συνιστάται τουλάχιστον μία (1) τριμελής Ειδική Επιτροπή που αποτελείται από:</w:t>
      </w:r>
    </w:p>
    <w:p w14:paraId="4687820A" w14:textId="77777777" w:rsidR="0070281B" w:rsidRPr="00B20FAC" w:rsidRDefault="0070281B" w:rsidP="00B20FAC">
      <w:pPr>
        <w:pStyle w:val="western"/>
        <w:shd w:val="clear" w:color="auto" w:fill="FFFFFF"/>
        <w:spacing w:after="0" w:afterAutospacing="0" w:line="255" w:lineRule="atLeast"/>
        <w:jc w:val="both"/>
        <w:rPr>
          <w:rFonts w:ascii="Arial" w:hAnsi="Arial" w:cs="Arial"/>
          <w:sz w:val="20"/>
          <w:szCs w:val="20"/>
          <w:lang w:val="el-GR"/>
        </w:rPr>
      </w:pPr>
      <w:r w:rsidRPr="00B20FAC">
        <w:rPr>
          <w:rFonts w:ascii="Verdana" w:hAnsi="Verdana" w:cs="Arial"/>
          <w:sz w:val="20"/>
          <w:szCs w:val="20"/>
        </w:rPr>
        <w:t>i</w:t>
      </w:r>
      <w:r w:rsidRPr="00B20FAC">
        <w:rPr>
          <w:rFonts w:ascii="Verdana" w:hAnsi="Verdana" w:cs="Arial"/>
          <w:sz w:val="20"/>
          <w:szCs w:val="20"/>
          <w:lang w:val="el-GR"/>
        </w:rPr>
        <w:t>. Ένα μέλος του Νομικού Συμβουλίου του Κράτους που ορίζεται, μαζί με τον αναπληρωτή του, από τον Πρόεδρο του Σώματος και το οποίο προεδρεύει της Ειδικής Επιτροπής.</w:t>
      </w:r>
    </w:p>
    <w:p w14:paraId="57948E00" w14:textId="77777777" w:rsidR="0070281B" w:rsidRPr="00B20FAC" w:rsidRDefault="0070281B" w:rsidP="00B20FAC">
      <w:pPr>
        <w:pStyle w:val="western"/>
        <w:shd w:val="clear" w:color="auto" w:fill="FFFFFF"/>
        <w:spacing w:after="0" w:afterAutospacing="0" w:line="255" w:lineRule="atLeast"/>
        <w:jc w:val="both"/>
        <w:rPr>
          <w:rFonts w:ascii="Arial" w:hAnsi="Arial" w:cs="Arial"/>
          <w:sz w:val="20"/>
          <w:szCs w:val="20"/>
          <w:lang w:val="el-GR"/>
        </w:rPr>
      </w:pPr>
      <w:r w:rsidRPr="00B20FAC">
        <w:rPr>
          <w:rFonts w:ascii="Verdana" w:hAnsi="Verdana" w:cs="Arial"/>
          <w:sz w:val="20"/>
          <w:szCs w:val="20"/>
        </w:rPr>
        <w:t>ii</w:t>
      </w:r>
      <w:r w:rsidRPr="00B20FAC">
        <w:rPr>
          <w:rFonts w:ascii="Verdana" w:hAnsi="Verdana" w:cs="Arial"/>
          <w:sz w:val="20"/>
          <w:szCs w:val="20"/>
          <w:lang w:val="el-GR"/>
        </w:rPr>
        <w:t>. Τον Πρόεδρο του Δικηγορικού Συλλόγου της έδρας της Ειδικής Επιτροπής, ο οποίος αναπληρούται από μέλος του Δικηγορικού Συλλόγου, το οποίο ορίζεται από τον ίδιο.</w:t>
      </w:r>
    </w:p>
    <w:p w14:paraId="4C781D1A" w14:textId="77777777" w:rsidR="00675893" w:rsidRPr="00B20FAC" w:rsidRDefault="0070281B" w:rsidP="00B20FAC">
      <w:pPr>
        <w:pStyle w:val="western"/>
        <w:shd w:val="clear" w:color="auto" w:fill="FFFFFF"/>
        <w:spacing w:after="0" w:afterAutospacing="0" w:line="255" w:lineRule="atLeast"/>
        <w:jc w:val="both"/>
        <w:rPr>
          <w:rFonts w:ascii="Verdana" w:hAnsi="Verdana" w:cs="Arial"/>
          <w:sz w:val="20"/>
          <w:szCs w:val="20"/>
          <w:lang w:val="el-GR"/>
        </w:rPr>
      </w:pPr>
      <w:r w:rsidRPr="00B20FAC">
        <w:rPr>
          <w:rFonts w:ascii="Verdana" w:hAnsi="Verdana" w:cs="Arial"/>
          <w:sz w:val="20"/>
          <w:szCs w:val="20"/>
        </w:rPr>
        <w:t>iii</w:t>
      </w:r>
      <w:r w:rsidRPr="00B20FAC">
        <w:rPr>
          <w:rFonts w:ascii="Verdana" w:hAnsi="Verdana" w:cs="Arial"/>
          <w:sz w:val="20"/>
          <w:szCs w:val="20"/>
          <w:lang w:val="el-GR"/>
        </w:rPr>
        <w:t>. Έναν αιρετό εκπρόσωπο της Τοπικής Ενωσης Δήμων και Κοινοτήτων (Τ.Ε.Δ.Κ.) του πολυπληθέστερου νομού, με αναπληρωτή, που προέρχεται από την Τ.Ε.Δ.Κ. του επόμενου σε πληθυσμό νομού, οι οποίοι ορίζονται με απόφαση των οικείων διοικητικών συμβουλίων</w:t>
      </w:r>
      <w:r w:rsidRPr="00B20FAC">
        <w:rPr>
          <w:rFonts w:ascii="Verdana" w:hAnsi="Verdana" w:cs="Arial"/>
          <w:sz w:val="20"/>
          <w:szCs w:val="20"/>
        </w:rPr>
        <w:t> </w:t>
      </w:r>
    </w:p>
    <w:p w14:paraId="3C8F79DC" w14:textId="345F70D3" w:rsidR="0070281B" w:rsidRPr="00B20FAC" w:rsidRDefault="0070281B" w:rsidP="00B20FAC">
      <w:pPr>
        <w:pStyle w:val="western"/>
        <w:shd w:val="clear" w:color="auto" w:fill="FFFFFF"/>
        <w:spacing w:after="0" w:afterAutospacing="0" w:line="255" w:lineRule="atLeast"/>
        <w:jc w:val="both"/>
        <w:rPr>
          <w:rFonts w:ascii="Arial" w:hAnsi="Arial" w:cs="Arial"/>
          <w:sz w:val="20"/>
          <w:szCs w:val="20"/>
          <w:lang w:val="el-GR"/>
        </w:rPr>
      </w:pPr>
      <w:r w:rsidRPr="00B20FAC">
        <w:rPr>
          <w:rFonts w:ascii="Verdana" w:hAnsi="Verdana" w:cs="Arial"/>
          <w:sz w:val="20"/>
          <w:szCs w:val="20"/>
          <w:lang w:val="el-GR"/>
        </w:rPr>
        <w:t xml:space="preserve">Η Επιτροπή συγκροτείται με απόφαση του Γενικού Γραμματέα της Περιφέρειας. Σε περίπτωση που στην ίδια Περιφέρεια συνιστώνται περισσότερες από μία Ειδικές Επιτροπές, με την ίδια απόφαση, καθορίζεται η τοπική αρμοδιότητα καθεμιάς και η έδρα της. Στην περίπτωση αυτή οι εκπρόσωποι των Τ.Ε.Δ.Κ. ορίζονται κατά σειρά από το μεγαλύτερο σε πληθυσμό νομό, πρώτα τα τακτικά και ύστερα τα αναπληρωματικά μέλη. Όταν κρίνεται </w:t>
      </w:r>
      <w:r w:rsidRPr="00B20FAC">
        <w:rPr>
          <w:rFonts w:ascii="Verdana" w:hAnsi="Verdana" w:cs="Arial"/>
          <w:sz w:val="20"/>
          <w:szCs w:val="20"/>
          <w:lang w:val="el-GR"/>
        </w:rPr>
        <w:lastRenderedPageBreak/>
        <w:t>απόφαση του Ο.Τ.Α., από τον οποίο προέρχεται ο αιρετός εκπρόσωπος της Τ.Ε.Δ.Κ., αντικαθίσταται υποχρεωτικώς από τον αναπληρωτή του.</w:t>
      </w:r>
    </w:p>
    <w:p w14:paraId="6742C629"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lang w:val="el-GR"/>
        </w:rPr>
        <w:t>Καθήκοντα γραμματέα της Ειδικής Επιτροπής ασκεί υπάλληλος της Περιφέρειας, που ορίζεται με τον αναπληρωτή του με την απόφαση συγκρότησής της.</w:t>
      </w:r>
    </w:p>
    <w:p w14:paraId="07B8F98D"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lang w:val="el-GR"/>
        </w:rPr>
        <w:t>2.</w:t>
      </w:r>
      <w:r w:rsidRPr="00B20FAC">
        <w:rPr>
          <w:rFonts w:ascii="Verdana" w:hAnsi="Verdana" w:cs="Arial"/>
          <w:sz w:val="20"/>
          <w:szCs w:val="20"/>
        </w:rPr>
        <w:t> </w:t>
      </w:r>
      <w:r w:rsidRPr="00B20FAC">
        <w:rPr>
          <w:rFonts w:ascii="Verdana" w:hAnsi="Verdana" w:cs="Arial"/>
          <w:sz w:val="20"/>
          <w:szCs w:val="20"/>
          <w:lang w:val="el-GR"/>
        </w:rPr>
        <w:t xml:space="preserve"> Η Ειδική Επιτροπή ασκεί έλεγχο νομιμότητας, και εκδίδει απόφαση επί της προσφυγής μέσα σε αποκλειστική προθεσμία τριάντα (30) ημερών από την υποβολή της. Συνεδριάζει, τουλάχιστον, δύο (2) φορές το μήνα.</w:t>
      </w:r>
    </w:p>
    <w:p w14:paraId="5E4A43DA"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lang w:val="el-GR"/>
        </w:rPr>
        <w:t>3.</w:t>
      </w:r>
      <w:r w:rsidRPr="00B20FAC">
        <w:rPr>
          <w:rFonts w:ascii="Verdana" w:hAnsi="Verdana" w:cs="Arial"/>
          <w:sz w:val="20"/>
          <w:szCs w:val="20"/>
        </w:rPr>
        <w:t> </w:t>
      </w:r>
      <w:r w:rsidRPr="00B20FAC">
        <w:rPr>
          <w:rFonts w:ascii="Verdana" w:hAnsi="Verdana" w:cs="Arial"/>
          <w:sz w:val="20"/>
          <w:szCs w:val="20"/>
          <w:lang w:val="el-GR"/>
        </w:rPr>
        <w:t xml:space="preserve"> Η Ειδική Επιτροπή θεωρείται ότι έχει απαρτία με την παρουσία δύο (2) εκ των μελών της. Σε περίπτωση ισοψηφίας υπερισχύει η ψήφος του προέδρου.</w:t>
      </w:r>
    </w:p>
    <w:p w14:paraId="6219F3C9"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lang w:val="el-GR"/>
        </w:rPr>
        <w:t>4. Οι αποφάσεις της Ειδικής Επιτροπής προσβάλλονται μόνο στα αρμόδια δικαστήρια.</w:t>
      </w:r>
    </w:p>
    <w:p w14:paraId="18AA4DF3" w14:textId="7BB9CA2C" w:rsidR="0070281B" w:rsidRDefault="0070281B" w:rsidP="00B20FAC">
      <w:pPr>
        <w:pStyle w:val="western"/>
        <w:spacing w:after="0" w:afterAutospacing="0" w:line="255" w:lineRule="atLeast"/>
        <w:jc w:val="both"/>
        <w:rPr>
          <w:rFonts w:ascii="Verdana" w:hAnsi="Verdana" w:cs="Arial"/>
          <w:sz w:val="20"/>
          <w:szCs w:val="20"/>
          <w:lang w:val="el-GR"/>
        </w:rPr>
      </w:pPr>
      <w:r w:rsidRPr="00B20FAC">
        <w:rPr>
          <w:rFonts w:ascii="Verdana" w:hAnsi="Verdana" w:cs="Arial"/>
          <w:sz w:val="20"/>
          <w:szCs w:val="20"/>
          <w:lang w:val="el-GR"/>
        </w:rPr>
        <w:t>5.</w:t>
      </w:r>
      <w:r w:rsidRPr="00B20FAC">
        <w:rPr>
          <w:rFonts w:ascii="Verdana" w:hAnsi="Verdana" w:cs="Arial"/>
          <w:sz w:val="20"/>
          <w:szCs w:val="20"/>
        </w:rPr>
        <w:t> </w:t>
      </w:r>
      <w:r w:rsidRPr="00B20FAC">
        <w:rPr>
          <w:rFonts w:ascii="Verdana" w:hAnsi="Verdana" w:cs="Arial"/>
          <w:sz w:val="20"/>
          <w:szCs w:val="20"/>
          <w:lang w:val="el-GR"/>
        </w:rPr>
        <w:t xml:space="preserve"> Με κοινή απόφαση των Υπουργών Εσωτερικών, Δημόσιας Διοίκησης και Αποκέντρωσης και Οικονομίας και Οικονομικών, η οποία δημοσιεύεται στην Εφημερίδα της Κυβερνήσεως, καθορίζεται η αποζημίωση των μελών της Επιτροπής και του Γραμματέα αυτής, σύμφωνα με τις ισχύουσες, κάθε φορά, διατάξεις. Θέματα λειτουργίας της Ειδικής Επιτροπής ρυθμίζονται με απόφαση του Υπουργού Εσωτερικών, Δημόσιας Διοίκησης και Αποκέντρωσης.</w:t>
      </w:r>
    </w:p>
    <w:p w14:paraId="287FC617"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bookmarkStart w:id="3" w:name="ΑΡΘΡΟ0153___0153___"/>
      <w:bookmarkEnd w:id="3"/>
      <w:r w:rsidRPr="00B20FAC">
        <w:rPr>
          <w:rFonts w:ascii="Verdana" w:hAnsi="Verdana" w:cs="Arial"/>
          <w:b/>
          <w:bCs/>
          <w:sz w:val="20"/>
          <w:szCs w:val="20"/>
          <w:lang w:val="el-GR"/>
        </w:rPr>
        <w:t>Άρθρο 153</w:t>
      </w:r>
    </w:p>
    <w:p w14:paraId="48DF21C5"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b/>
          <w:bCs/>
          <w:sz w:val="20"/>
          <w:szCs w:val="20"/>
          <w:lang w:val="el-GR"/>
        </w:rPr>
        <w:t>Κοινοποίηση αποφάσεων της Ειδικής Επιτροπής</w:t>
      </w:r>
    </w:p>
    <w:p w14:paraId="331F4BFF"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rPr>
        <w:t>O</w:t>
      </w:r>
      <w:r w:rsidRPr="00B20FAC">
        <w:rPr>
          <w:rFonts w:ascii="Verdana" w:hAnsi="Verdana" w:cs="Arial"/>
          <w:sz w:val="20"/>
          <w:szCs w:val="20"/>
          <w:lang w:val="el-GR"/>
        </w:rPr>
        <w:t>ι αποφάσεις της ειδικής επιτροπής, οι οποίες εκδίδονται σύμφωνα με τις διατάξεις του προηγούμενου άρθρου, κοινοποιούνται στον Γενικό Γραμματέα της Περιφέρειας και στο Δήμο ή στην Κοινότητα ή στο νομικό πρόσωπο αυτών, καθώς και σε αυτόν που έχει ασκήσει την προσφυγή.</w:t>
      </w:r>
    </w:p>
    <w:p w14:paraId="52B34FC6"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rPr>
        <w:t>O</w:t>
      </w:r>
      <w:r w:rsidRPr="00B20FAC">
        <w:rPr>
          <w:rFonts w:ascii="Verdana" w:hAnsi="Verdana" w:cs="Arial"/>
          <w:sz w:val="20"/>
          <w:szCs w:val="20"/>
          <w:lang w:val="el-GR"/>
        </w:rPr>
        <w:t>ι αποφάσεις αυτές δημοσιεύονται υποχρεωτικά με φροντίδα του Δήμου ή της Κοινότητας με ανάρτηση στο κατάστημα του οικείου οργανισμού. Για τις δημοσιεύσεις αυτές συντάσσεται αποδεικτικό ενώπιον δύο (2) μαρτύρων.</w:t>
      </w:r>
    </w:p>
    <w:p w14:paraId="0D6AAD3B" w14:textId="15F82F7B"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Arial" w:hAnsi="Arial" w:cs="Arial"/>
          <w:sz w:val="20"/>
          <w:szCs w:val="20"/>
        </w:rPr>
        <w:t> </w:t>
      </w:r>
    </w:p>
    <w:p w14:paraId="508459CB"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bookmarkStart w:id="4" w:name="ΑΡΘΡΟ0154___0154___"/>
      <w:bookmarkEnd w:id="4"/>
      <w:r w:rsidRPr="00B20FAC">
        <w:rPr>
          <w:rFonts w:ascii="Verdana" w:hAnsi="Verdana" w:cs="Arial"/>
          <w:b/>
          <w:bCs/>
          <w:sz w:val="20"/>
          <w:szCs w:val="20"/>
          <w:lang w:val="el-GR"/>
        </w:rPr>
        <w:t>Άρθρο 154</w:t>
      </w:r>
    </w:p>
    <w:p w14:paraId="0075A4C8"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b/>
          <w:bCs/>
          <w:sz w:val="20"/>
          <w:szCs w:val="20"/>
          <w:lang w:val="el-GR"/>
        </w:rPr>
        <w:t>Υποχρέωση Συμμόρφωσης</w:t>
      </w:r>
    </w:p>
    <w:p w14:paraId="3C3F2C94"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b/>
          <w:bCs/>
          <w:i/>
          <w:iCs/>
          <w:sz w:val="20"/>
          <w:szCs w:val="20"/>
          <w:lang w:val="el-GR"/>
        </w:rPr>
        <w:t>(Βλ. Και άρθρο</w:t>
      </w:r>
      <w:r w:rsidRPr="00B20FAC">
        <w:rPr>
          <w:rFonts w:ascii="Verdana" w:hAnsi="Verdana" w:cs="Arial"/>
          <w:b/>
          <w:bCs/>
          <w:i/>
          <w:iCs/>
          <w:sz w:val="20"/>
          <w:szCs w:val="20"/>
        </w:rPr>
        <w:t> </w:t>
      </w:r>
      <w:hyperlink r:id="rId29" w:tgtFrame="_blank" w:history="1">
        <w:r w:rsidRPr="00B20FAC">
          <w:rPr>
            <w:rStyle w:val="Hyperlink"/>
            <w:rFonts w:ascii="Verdana" w:hAnsi="Verdana" w:cs="Arial"/>
            <w:b/>
            <w:bCs/>
            <w:i/>
            <w:iCs/>
            <w:color w:val="auto"/>
            <w:sz w:val="20"/>
            <w:szCs w:val="20"/>
            <w:lang w:val="el-GR"/>
          </w:rPr>
          <w:t>231</w:t>
        </w:r>
      </w:hyperlink>
      <w:r w:rsidRPr="00B20FAC">
        <w:rPr>
          <w:rFonts w:ascii="Verdana" w:hAnsi="Verdana" w:cs="Arial"/>
          <w:b/>
          <w:bCs/>
          <w:i/>
          <w:iCs/>
          <w:sz w:val="20"/>
          <w:szCs w:val="20"/>
        </w:rPr>
        <w:t> </w:t>
      </w:r>
      <w:hyperlink r:id="rId30" w:tgtFrame="_blank" w:history="1">
        <w:r w:rsidRPr="00B20FAC">
          <w:rPr>
            <w:rStyle w:val="Hyperlink"/>
            <w:rFonts w:ascii="Verdana" w:hAnsi="Verdana" w:cs="Arial"/>
            <w:b/>
            <w:bCs/>
            <w:i/>
            <w:iCs/>
            <w:color w:val="auto"/>
            <w:sz w:val="20"/>
            <w:szCs w:val="20"/>
            <w:lang w:val="el-GR"/>
          </w:rPr>
          <w:t>Ν. 3852/10</w:t>
        </w:r>
      </w:hyperlink>
      <w:r w:rsidRPr="00B20FAC">
        <w:rPr>
          <w:rFonts w:ascii="Verdana" w:hAnsi="Verdana" w:cs="Arial"/>
          <w:b/>
          <w:bCs/>
          <w:i/>
          <w:iCs/>
          <w:sz w:val="20"/>
          <w:szCs w:val="20"/>
          <w:lang w:val="el-GR"/>
        </w:rPr>
        <w:t>).</w:t>
      </w:r>
    </w:p>
    <w:p w14:paraId="5E9DEBC7"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Verdana" w:hAnsi="Verdana" w:cs="Arial"/>
          <w:sz w:val="20"/>
          <w:szCs w:val="20"/>
          <w:lang w:val="el-GR"/>
        </w:rPr>
        <w:t>Τα αιρετά όργανα των Δήμων και Κοινοτήτων, οι διοικήσεις των νομικών προσώπων και των Συνδέσμων, έχουν υποχρέωση συμμόρφωσης, χωρίς καθυστέρηση, προς τις αποφάσεις του Γενικού Γραμματέα της Περιφέρειας καθώς και της ειδικής επιτροπής, που αναφέρονται στον έλεγχο νομιμότητας των πράξεων των συλλογικών και μονομελών οργάνων των Δήμων και Κοινοτήτων, κατά τα άρθρα 149 και 150. Σε αντίθετη περίπτωση διαπράττουν σοβαρή παράβαση καθήκοντος, η οποία ελέγχεται πειθαρχικά, κατά τις διατάξεις των άρθρων 142 και 143 του παρόντος.</w:t>
      </w:r>
    </w:p>
    <w:p w14:paraId="6B6B1791" w14:textId="77777777" w:rsidR="0070281B" w:rsidRPr="00B20FAC" w:rsidRDefault="0070281B" w:rsidP="00B20FAC">
      <w:pPr>
        <w:pStyle w:val="western"/>
        <w:spacing w:after="0" w:afterAutospacing="0" w:line="255" w:lineRule="atLeast"/>
        <w:jc w:val="both"/>
        <w:rPr>
          <w:rFonts w:ascii="Arial" w:hAnsi="Arial" w:cs="Arial"/>
          <w:sz w:val="20"/>
          <w:szCs w:val="20"/>
          <w:lang w:val="el-GR"/>
        </w:rPr>
      </w:pPr>
      <w:r w:rsidRPr="00B20FAC">
        <w:rPr>
          <w:rFonts w:ascii="Arial" w:hAnsi="Arial" w:cs="Arial"/>
          <w:sz w:val="20"/>
          <w:szCs w:val="20"/>
        </w:rPr>
        <w:t> </w:t>
      </w:r>
    </w:p>
    <w:p w14:paraId="20A1EE54" w14:textId="77777777" w:rsidR="00C519B4" w:rsidRPr="00B20FAC" w:rsidRDefault="00C519B4" w:rsidP="00B20FAC">
      <w:pPr>
        <w:jc w:val="both"/>
        <w:rPr>
          <w:lang w:val="el-GR"/>
        </w:rPr>
      </w:pPr>
    </w:p>
    <w:sectPr w:rsidR="00C519B4" w:rsidRPr="00B20FAC">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706C" w14:textId="77777777" w:rsidR="00D03F9C" w:rsidRDefault="00D03F9C" w:rsidP="00B20FAC">
      <w:pPr>
        <w:spacing w:after="0" w:line="240" w:lineRule="auto"/>
      </w:pPr>
      <w:r>
        <w:separator/>
      </w:r>
    </w:p>
  </w:endnote>
  <w:endnote w:type="continuationSeparator" w:id="0">
    <w:p w14:paraId="76B06366" w14:textId="77777777" w:rsidR="00D03F9C" w:rsidRDefault="00D03F9C" w:rsidP="00B2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857243"/>
      <w:docPartObj>
        <w:docPartGallery w:val="Page Numbers (Bottom of Page)"/>
        <w:docPartUnique/>
      </w:docPartObj>
    </w:sdtPr>
    <w:sdtEndPr>
      <w:rPr>
        <w:noProof/>
      </w:rPr>
    </w:sdtEndPr>
    <w:sdtContent>
      <w:p w14:paraId="0349C8E6" w14:textId="403176B4" w:rsidR="00B20FAC" w:rsidRDefault="00B20F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00BA0D" w14:textId="77777777" w:rsidR="00B20FAC" w:rsidRDefault="00B2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9B7A" w14:textId="77777777" w:rsidR="00D03F9C" w:rsidRDefault="00D03F9C" w:rsidP="00B20FAC">
      <w:pPr>
        <w:spacing w:after="0" w:line="240" w:lineRule="auto"/>
      </w:pPr>
      <w:r>
        <w:separator/>
      </w:r>
    </w:p>
  </w:footnote>
  <w:footnote w:type="continuationSeparator" w:id="0">
    <w:p w14:paraId="509D47E8" w14:textId="77777777" w:rsidR="00D03F9C" w:rsidRDefault="00D03F9C" w:rsidP="00B20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MzG1sDA3NDQ3tDBX0lEKTi0uzszPAykwqQUAjJO+DCwAAAA="/>
  </w:docVars>
  <w:rsids>
    <w:rsidRoot w:val="00481CD2"/>
    <w:rsid w:val="00021003"/>
    <w:rsid w:val="00046755"/>
    <w:rsid w:val="000F5BE3"/>
    <w:rsid w:val="001051D4"/>
    <w:rsid w:val="0017589E"/>
    <w:rsid w:val="001E18DD"/>
    <w:rsid w:val="00236893"/>
    <w:rsid w:val="00294C4D"/>
    <w:rsid w:val="00296875"/>
    <w:rsid w:val="002D6C0F"/>
    <w:rsid w:val="00355CB5"/>
    <w:rsid w:val="00397B5F"/>
    <w:rsid w:val="003A0E62"/>
    <w:rsid w:val="004519AB"/>
    <w:rsid w:val="0045306A"/>
    <w:rsid w:val="00481CD2"/>
    <w:rsid w:val="004A009D"/>
    <w:rsid w:val="005031B7"/>
    <w:rsid w:val="005F1C54"/>
    <w:rsid w:val="006119BE"/>
    <w:rsid w:val="00634571"/>
    <w:rsid w:val="00675893"/>
    <w:rsid w:val="006D0614"/>
    <w:rsid w:val="0070281B"/>
    <w:rsid w:val="00732E4F"/>
    <w:rsid w:val="007D3DF2"/>
    <w:rsid w:val="007F7F88"/>
    <w:rsid w:val="00850B5A"/>
    <w:rsid w:val="008B34D7"/>
    <w:rsid w:val="008C6C5D"/>
    <w:rsid w:val="009329FC"/>
    <w:rsid w:val="009C220D"/>
    <w:rsid w:val="00B20FAC"/>
    <w:rsid w:val="00B76A6B"/>
    <w:rsid w:val="00BA1908"/>
    <w:rsid w:val="00C519B4"/>
    <w:rsid w:val="00C51D90"/>
    <w:rsid w:val="00C67783"/>
    <w:rsid w:val="00D03F9C"/>
    <w:rsid w:val="00D822BB"/>
    <w:rsid w:val="00DF2DA6"/>
    <w:rsid w:val="00E47939"/>
    <w:rsid w:val="00F0783F"/>
    <w:rsid w:val="00F11991"/>
    <w:rsid w:val="00F22021"/>
    <w:rsid w:val="00F32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25D9"/>
  <w15:chartTrackingRefBased/>
  <w15:docId w15:val="{EB3155EE-8E53-4F8D-8573-522D2506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81CD2"/>
  </w:style>
  <w:style w:type="paragraph" w:customStyle="1" w:styleId="msonormal0">
    <w:name w:val="msonormal"/>
    <w:basedOn w:val="Normal"/>
    <w:rsid w:val="00481C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481C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1CD2"/>
    <w:rPr>
      <w:color w:val="0000FF"/>
      <w:u w:val="single"/>
    </w:rPr>
  </w:style>
  <w:style w:type="character" w:styleId="FollowedHyperlink">
    <w:name w:val="FollowedHyperlink"/>
    <w:basedOn w:val="DefaultParagraphFont"/>
    <w:uiPriority w:val="99"/>
    <w:semiHidden/>
    <w:unhideWhenUsed/>
    <w:rsid w:val="00481CD2"/>
    <w:rPr>
      <w:color w:val="800080"/>
      <w:u w:val="single"/>
    </w:rPr>
  </w:style>
  <w:style w:type="paragraph" w:styleId="Header">
    <w:name w:val="header"/>
    <w:basedOn w:val="Normal"/>
    <w:link w:val="HeaderChar"/>
    <w:uiPriority w:val="99"/>
    <w:unhideWhenUsed/>
    <w:rsid w:val="00B20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FAC"/>
  </w:style>
  <w:style w:type="paragraph" w:styleId="Footer">
    <w:name w:val="footer"/>
    <w:basedOn w:val="Normal"/>
    <w:link w:val="FooterChar"/>
    <w:uiPriority w:val="99"/>
    <w:unhideWhenUsed/>
    <w:rsid w:val="00B20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4009">
      <w:bodyDiv w:val="1"/>
      <w:marLeft w:val="0"/>
      <w:marRight w:val="0"/>
      <w:marTop w:val="0"/>
      <w:marBottom w:val="0"/>
      <w:divBdr>
        <w:top w:val="none" w:sz="0" w:space="0" w:color="auto"/>
        <w:left w:val="none" w:sz="0" w:space="0" w:color="auto"/>
        <w:bottom w:val="none" w:sz="0" w:space="0" w:color="auto"/>
        <w:right w:val="none" w:sz="0" w:space="0" w:color="auto"/>
      </w:divBdr>
    </w:div>
    <w:div w:id="16320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motelia.gr/nservice22/document?documentId=991864&amp;partId=1581341" TargetMode="External"/><Relationship Id="rId18" Type="http://schemas.openxmlformats.org/officeDocument/2006/relationships/hyperlink" Target="https://www.nomotelia.gr/nservice22/document?documentId=991864&amp;partId=1581563" TargetMode="External"/><Relationship Id="rId26" Type="http://schemas.openxmlformats.org/officeDocument/2006/relationships/hyperlink" Target="https://www.nomotelia.gr/nservice22/document?documentId=647498" TargetMode="External"/><Relationship Id="rId3" Type="http://schemas.openxmlformats.org/officeDocument/2006/relationships/webSettings" Target="webSettings.xml"/><Relationship Id="rId21" Type="http://schemas.openxmlformats.org/officeDocument/2006/relationships/hyperlink" Target="https://www.nomotelia.gr/nservice22/document?documentId=427678" TargetMode="External"/><Relationship Id="rId7" Type="http://schemas.openxmlformats.org/officeDocument/2006/relationships/hyperlink" Target="https://www.nomotelia.gr/nservice22/document?documentId=1073352" TargetMode="External"/><Relationship Id="rId12" Type="http://schemas.openxmlformats.org/officeDocument/2006/relationships/hyperlink" Target="https://www.nomotelia.gr/nservice22/document?documentId=991864&amp;partId=1581338" TargetMode="External"/><Relationship Id="rId17" Type="http://schemas.openxmlformats.org/officeDocument/2006/relationships/hyperlink" Target="https://www.nomotelia.gr/nservice22/document?documentId=991864&amp;partId=1581560" TargetMode="External"/><Relationship Id="rId25" Type="http://schemas.openxmlformats.org/officeDocument/2006/relationships/hyperlink" Target="https://www.nomotelia.gr/nservice22/document?documentId=647498&amp;partId=104283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omotelia.gr/nservice22/document?documentId=991864&amp;partId=1581341" TargetMode="External"/><Relationship Id="rId20" Type="http://schemas.openxmlformats.org/officeDocument/2006/relationships/hyperlink" Target="https://www.nomotelia.gr/nservice22/document?documentId=52672" TargetMode="External"/><Relationship Id="rId29" Type="http://schemas.openxmlformats.org/officeDocument/2006/relationships/hyperlink" Target="https://www.nomotelia.gr/nservice22/document?documentId=647498&amp;partId=1042832" TargetMode="External"/><Relationship Id="rId1" Type="http://schemas.openxmlformats.org/officeDocument/2006/relationships/styles" Target="styles.xml"/><Relationship Id="rId6" Type="http://schemas.openxmlformats.org/officeDocument/2006/relationships/hyperlink" Target="https://www.nomotelia.gr/nservice22/document?documentId=1073352&amp;partId=1707405" TargetMode="External"/><Relationship Id="rId11" Type="http://schemas.openxmlformats.org/officeDocument/2006/relationships/hyperlink" Target="https://www.nomotelia.gr/nservice22/document?documentId=647498" TargetMode="External"/><Relationship Id="rId24" Type="http://schemas.openxmlformats.org/officeDocument/2006/relationships/hyperlink" Target="https://www.nomotelia.gr/nservice22/document?documentId=647498&amp;partId=1042834"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nomotelia.gr/nservice22/document?documentId=991864&amp;partId=1581338" TargetMode="External"/><Relationship Id="rId23" Type="http://schemas.openxmlformats.org/officeDocument/2006/relationships/hyperlink" Target="https://www.nomotelia.gr/nservice22/document?documentId=647498&amp;partId=1042833" TargetMode="External"/><Relationship Id="rId28" Type="http://schemas.openxmlformats.org/officeDocument/2006/relationships/hyperlink" Target="https://www.nomotelia.gr/nservice22/document?documentId=647498" TargetMode="External"/><Relationship Id="rId10" Type="http://schemas.openxmlformats.org/officeDocument/2006/relationships/hyperlink" Target="https://www.nomotelia.gr/nservice22/document?documentId=647498&amp;partId=1042825" TargetMode="External"/><Relationship Id="rId19" Type="http://schemas.openxmlformats.org/officeDocument/2006/relationships/hyperlink" Target="https://www.nomotelia.gr/nservice22/document?documentId=991864"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omotelia.gr/nservice22/document?documentId=1073352" TargetMode="External"/><Relationship Id="rId14" Type="http://schemas.openxmlformats.org/officeDocument/2006/relationships/hyperlink" Target="https://www.nomotelia.gr/nservice22/document?documentId=991864" TargetMode="External"/><Relationship Id="rId22" Type="http://schemas.openxmlformats.org/officeDocument/2006/relationships/hyperlink" Target="https://www.nomotelia.gr/nservice22/document?documentId=12947" TargetMode="External"/><Relationship Id="rId27" Type="http://schemas.openxmlformats.org/officeDocument/2006/relationships/hyperlink" Target="https://www.nomotelia.gr/nservice22/document?documentId=647498&amp;partId=1042833" TargetMode="External"/><Relationship Id="rId30" Type="http://schemas.openxmlformats.org/officeDocument/2006/relationships/hyperlink" Target="https://www.nomotelia.gr/nservice22/document?documentId=647498" TargetMode="External"/><Relationship Id="rId8" Type="http://schemas.openxmlformats.org/officeDocument/2006/relationships/hyperlink" Target="https://www.nomotelia.gr/nservice22/document?documentId=1073352&amp;partId=1707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5450</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Hlepas</dc:creator>
  <cp:keywords/>
  <dc:description/>
  <cp:lastModifiedBy>Nikos Hlepas </cp:lastModifiedBy>
  <cp:revision>3</cp:revision>
  <dcterms:created xsi:type="dcterms:W3CDTF">2022-03-21T08:47:00Z</dcterms:created>
  <dcterms:modified xsi:type="dcterms:W3CDTF">2022-03-21T08:50:00Z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901662481</vt:i4>
  </property>
</Properties>
</file>