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0E4F2" w14:textId="6E9615E6" w:rsidR="00780F2E" w:rsidRPr="00780F2E" w:rsidRDefault="00780F2E" w:rsidP="00780F2E">
      <w:pPr>
        <w:spacing w:before="100" w:beforeAutospacing="1" w:after="100" w:afterAutospacing="1" w:line="240" w:lineRule="auto"/>
        <w:outlineLvl w:val="2"/>
        <w:rPr>
          <w:rFonts w:ascii="&amp;quot" w:eastAsia="Times New Roman" w:hAnsi="&amp;quot" w:cs="Times New Roman"/>
          <w:b/>
          <w:bCs/>
          <w:color w:val="000000"/>
          <w:sz w:val="31"/>
          <w:szCs w:val="31"/>
          <w:lang w:eastAsia="el-GR"/>
        </w:rPr>
      </w:pPr>
      <w:r>
        <w:rPr>
          <w:rFonts w:ascii="&amp;quot" w:eastAsia="Times New Roman" w:hAnsi="&amp;quot" w:cs="Times New Roman"/>
          <w:b/>
          <w:bCs/>
          <w:color w:val="000000"/>
          <w:sz w:val="31"/>
          <w:szCs w:val="31"/>
          <w:lang w:eastAsia="el-GR"/>
        </w:rPr>
        <w:t>Ν. 4412/2016, Προσάρτημα Α΄</w:t>
      </w:r>
      <w:bookmarkStart w:id="0" w:name="_GoBack"/>
      <w:bookmarkEnd w:id="0"/>
      <w:r w:rsidRPr="00780F2E">
        <w:rPr>
          <w:rFonts w:ascii="&amp;quot" w:eastAsia="Times New Roman" w:hAnsi="&amp;quot" w:cs="Times New Roman"/>
          <w:b/>
          <w:bCs/>
          <w:color w:val="000000"/>
          <w:sz w:val="31"/>
          <w:szCs w:val="31"/>
          <w:lang w:eastAsia="el-GR"/>
        </w:rPr>
        <w:t>ΠΑΡΑΡΤΗΜΑ XII</w:t>
      </w:r>
    </w:p>
    <w:p w14:paraId="015BE4CB" w14:textId="77777777" w:rsidR="00780F2E" w:rsidRPr="00780F2E" w:rsidRDefault="00780F2E" w:rsidP="00780F2E">
      <w:pPr>
        <w:numPr>
          <w:ilvl w:val="0"/>
          <w:numId w:val="1"/>
        </w:numPr>
        <w:spacing w:before="100" w:beforeAutospacing="1" w:after="100" w:afterAutospacing="1" w:line="240" w:lineRule="auto"/>
        <w:ind w:left="0" w:firstLine="0"/>
        <w:outlineLvl w:val="3"/>
        <w:rPr>
          <w:rFonts w:ascii="&amp;quot" w:eastAsia="Times New Roman" w:hAnsi="&amp;quot" w:cs="Times New Roman"/>
          <w:b/>
          <w:bCs/>
          <w:color w:val="000000"/>
          <w:sz w:val="29"/>
          <w:szCs w:val="29"/>
          <w:lang w:eastAsia="el-GR"/>
        </w:rPr>
      </w:pPr>
      <w:r w:rsidRPr="00780F2E">
        <w:rPr>
          <w:rFonts w:ascii="&amp;quot" w:eastAsia="Times New Roman" w:hAnsi="&amp;quot" w:cs="Times New Roman"/>
          <w:b/>
          <w:bCs/>
          <w:color w:val="000000"/>
          <w:sz w:val="29"/>
          <w:szCs w:val="29"/>
          <w:lang w:eastAsia="el-GR"/>
        </w:rPr>
        <w:t>ΑΠΟΔΕΙΚΤΙΚΑ ΜΕΣΑ ΓΙΑ ΤΑ ΚΡΙΤΗΡΙΑ ΕΠΙΛΟΓΗΣ</w:t>
      </w:r>
    </w:p>
    <w:p w14:paraId="3D650129" w14:textId="77777777" w:rsidR="00780F2E" w:rsidRPr="00780F2E" w:rsidRDefault="00780F2E" w:rsidP="0078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4"/>
        <w:rPr>
          <w:rFonts w:ascii="&amp;quot" w:eastAsia="Times New Roman" w:hAnsi="&amp;quot" w:cs="Courier New"/>
          <w:b/>
          <w:bCs/>
          <w:color w:val="000000"/>
          <w:sz w:val="20"/>
          <w:szCs w:val="20"/>
          <w:lang w:eastAsia="el-GR"/>
        </w:rPr>
      </w:pPr>
      <w:r w:rsidRPr="00780F2E">
        <w:rPr>
          <w:rFonts w:ascii="&amp;quot" w:eastAsia="Times New Roman" w:hAnsi="&amp;quot" w:cs="Courier New"/>
          <w:b/>
          <w:bCs/>
          <w:color w:val="000000"/>
          <w:sz w:val="20"/>
          <w:szCs w:val="20"/>
          <w:lang w:eastAsia="el-GR"/>
        </w:rPr>
        <w:t>Μέρος I: Οικονομική και χρηματοοικονομική επάρκεια</w:t>
      </w:r>
    </w:p>
    <w:p w14:paraId="66EA4B53" w14:textId="77777777" w:rsidR="00780F2E" w:rsidRPr="00780F2E" w:rsidRDefault="00780F2E" w:rsidP="0078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mp;quot" w:eastAsia="Times New Roman" w:hAnsi="&amp;quot" w:cs="Courier New"/>
          <w:color w:val="000000"/>
          <w:sz w:val="24"/>
          <w:szCs w:val="24"/>
          <w:lang w:eastAsia="el-GR"/>
        </w:rPr>
      </w:pPr>
      <w:r w:rsidRPr="00780F2E">
        <w:rPr>
          <w:rFonts w:ascii="&amp;quot" w:eastAsia="Times New Roman" w:hAnsi="&amp;quot" w:cs="Courier New"/>
          <w:color w:val="000000"/>
          <w:sz w:val="24"/>
          <w:szCs w:val="24"/>
          <w:lang w:eastAsia="el-GR"/>
        </w:rPr>
        <w:t>Η οικονομική και χρηματοοικονομική επάρκεια του οικονομικού φορέα είναι δυνατόν, κατά κανόνα, να αποδεικνύεται με ένα ή περισσότερα από τα ακόλουθα δικαιολογητικά:</w:t>
      </w:r>
      <w:r w:rsidRPr="00780F2E">
        <w:rPr>
          <w:rFonts w:ascii="&amp;quot" w:eastAsia="Times New Roman" w:hAnsi="&amp;quot" w:cs="Courier New"/>
          <w:color w:val="000000"/>
          <w:sz w:val="24"/>
          <w:szCs w:val="24"/>
          <w:lang w:eastAsia="el-GR"/>
        </w:rPr>
        <w:br/>
        <w:t>α) κατάλληλες τραπεζικές βεβαιώσεις ή, όπου ενδείκνυται, πιστοποιητικό ασφαλιστικής κάλυψης επαγγελματικών κινδύνων·</w:t>
      </w:r>
      <w:r w:rsidRPr="00780F2E">
        <w:rPr>
          <w:rFonts w:ascii="&amp;quot" w:eastAsia="Times New Roman" w:hAnsi="&amp;quot" w:cs="Courier New"/>
          <w:color w:val="000000"/>
          <w:sz w:val="24"/>
          <w:szCs w:val="24"/>
          <w:lang w:eastAsia="el-GR"/>
        </w:rPr>
        <w:br/>
        <w:t>β) οικονομικές καταστάσεις ή αποσπάσματα οικονομικών καταστάσεων, στην περίπτωση που η δημοσίευση των οικονομικών καταστάσεων απαιτείται από τη νομοθεσία της χώρας όπου είναι εγκατεστημένος ο οικονομικός φορέας·</w:t>
      </w:r>
      <w:r w:rsidRPr="00780F2E">
        <w:rPr>
          <w:rFonts w:ascii="&amp;quot" w:eastAsia="Times New Roman" w:hAnsi="&amp;quot" w:cs="Courier New"/>
          <w:color w:val="000000"/>
          <w:sz w:val="24"/>
          <w:szCs w:val="24"/>
          <w:lang w:eastAsia="el-GR"/>
        </w:rPr>
        <w:br/>
        <w:t>γ) δήλωση περί του ολικού ύψους του κύκλου εργασιών και, κατά περίπτωση του κύκλου εργασιών στον τομέα δραστηριοτήτων που αποτελεί το αντικείμενο της σύμβασης, για τις τρεις τελευταίες οικονομικές χρήσεις κατ' ανώτατο όριο, συναρτήσει της ημερομηνίας σύστασης του οικονομικού φορέα ή έναρξης των δραστηριοτήτων του, εφόσον είναι διαθέσιμες οι πληροφορίες για τον εν λόγω κύκλο εργασιών.</w:t>
      </w:r>
    </w:p>
    <w:p w14:paraId="455894C1" w14:textId="77777777" w:rsidR="00780F2E" w:rsidRPr="00780F2E" w:rsidRDefault="00780F2E" w:rsidP="0078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4"/>
        <w:rPr>
          <w:rFonts w:ascii="&amp;quot" w:eastAsia="Times New Roman" w:hAnsi="&amp;quot" w:cs="Courier New"/>
          <w:b/>
          <w:bCs/>
          <w:color w:val="000000"/>
          <w:sz w:val="20"/>
          <w:szCs w:val="20"/>
          <w:lang w:eastAsia="el-GR"/>
        </w:rPr>
      </w:pPr>
      <w:r w:rsidRPr="00780F2E">
        <w:rPr>
          <w:rFonts w:ascii="&amp;quot" w:eastAsia="Times New Roman" w:hAnsi="&amp;quot" w:cs="Courier New"/>
          <w:b/>
          <w:bCs/>
          <w:color w:val="000000"/>
          <w:sz w:val="20"/>
          <w:szCs w:val="20"/>
          <w:lang w:eastAsia="el-GR"/>
        </w:rPr>
        <w:t>Μέρος II: Τεχνική ικανότητα</w:t>
      </w:r>
    </w:p>
    <w:p w14:paraId="724F95A3" w14:textId="77777777" w:rsidR="00780F2E" w:rsidRPr="00780F2E" w:rsidRDefault="00780F2E" w:rsidP="0078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mp;quot" w:eastAsia="Times New Roman" w:hAnsi="&amp;quot" w:cs="Courier New"/>
          <w:color w:val="000000"/>
          <w:sz w:val="24"/>
          <w:szCs w:val="24"/>
          <w:lang w:eastAsia="el-GR"/>
        </w:rPr>
      </w:pPr>
      <w:r w:rsidRPr="00780F2E">
        <w:rPr>
          <w:rFonts w:ascii="&amp;quot" w:eastAsia="Times New Roman" w:hAnsi="&amp;quot" w:cs="Courier New"/>
          <w:color w:val="000000"/>
          <w:sz w:val="24"/>
          <w:szCs w:val="24"/>
          <w:lang w:eastAsia="el-GR"/>
        </w:rPr>
        <w:t>Αποδεικτικά στοιχεία των τεχνικών ικανοτήτων του οικονομικού φορέα, που αναφέρονται στο άρθρο 75:</w:t>
      </w:r>
      <w:r w:rsidRPr="00780F2E">
        <w:rPr>
          <w:rFonts w:ascii="&amp;quot" w:eastAsia="Times New Roman" w:hAnsi="&amp;quot" w:cs="Courier New"/>
          <w:color w:val="000000"/>
          <w:sz w:val="24"/>
          <w:szCs w:val="24"/>
          <w:lang w:eastAsia="el-GR"/>
        </w:rPr>
        <w:br/>
        <w:t>α) οι ακόλουθοι κατάλογοι:</w:t>
      </w:r>
      <w:r w:rsidRPr="00780F2E">
        <w:rPr>
          <w:rFonts w:ascii="&amp;quot" w:eastAsia="Times New Roman" w:hAnsi="&amp;quot" w:cs="Courier New"/>
          <w:color w:val="000000"/>
          <w:sz w:val="24"/>
          <w:szCs w:val="24"/>
          <w:lang w:eastAsia="el-GR"/>
        </w:rPr>
        <w:br/>
        <w:t>i) κατάλογος των εργασιών που εκτελέσθηκαν την τελευταία πενταετία, κατά μέγιστο όριο, συνοδευόμενος από πιστοποιητικά ορθής εκτέλεσης και ολοκλήρωσης των σημαντικότερων εργασιών· όπου κριθεί απαραίτητο για τη διασφάλιση ικανοποιητικού επιπέδου ανταγωνισμού, οι αναθέτουσες αρχές μπορούν να ορίζουν ότι θα λαμβάνονται υπόψη στοιχεία σχετικών εργασιών που εκτελέσθηκαν πριν από την τελευταία πενταετία,</w:t>
      </w:r>
      <w:r w:rsidRPr="00780F2E">
        <w:rPr>
          <w:rFonts w:ascii="&amp;quot" w:eastAsia="Times New Roman" w:hAnsi="&amp;quot" w:cs="Courier New"/>
          <w:color w:val="000000"/>
          <w:sz w:val="24"/>
          <w:szCs w:val="24"/>
          <w:lang w:eastAsia="el-GR"/>
        </w:rPr>
        <w:br/>
        <w:t>ii) κατάλογος των κυριότερων παραδόσεων ή των κυριότερων υπηρεσιών που πραγματοποιήθηκαν την τελευταία τριετία, κατά μέγιστο όριο, με αναφορά του αντίστοιχου ποσού, της ημερομηνίας και του δημόσιου ή ιδιωτικού παραλήπτη. Όπου κριθεί απαραίτητο για τη διασφάλιση ικανοποιητικού επιπέδου ανταγωνισμού, οι αναθέτουσες αρχές μπορούν να ορίζουν ότι θα λαμβάνονται υπόψη στοιχεία σχετικών αγαθών ή υπηρεσιών που παραδόθηκαν ή εκτελέσθηκαν πριν από την τελευταία τριετία·</w:t>
      </w:r>
      <w:r w:rsidRPr="00780F2E">
        <w:rPr>
          <w:rFonts w:ascii="&amp;quot" w:eastAsia="Times New Roman" w:hAnsi="&amp;quot" w:cs="Courier New"/>
          <w:color w:val="000000"/>
          <w:sz w:val="24"/>
          <w:szCs w:val="24"/>
          <w:lang w:eastAsia="el-GR"/>
        </w:rPr>
        <w:br/>
        <w:t>β) αναφορά του τεχνικού προσωπικού ή των τεχνικών υπηρεσιών, είτε ανήκουν απευθείας στην επιχείρηση του οικονομικού φορέα είτε όχι, ιδίως των υπευθύνων για τον έλεγχο της ποιότητας και, όταν πρόκειται για δημόσιες συμβάσεις έργων, εκείνων που θα έχει στη διάθεσή του ο εργολήπτης για την εκτέλεση του έργου· για την εκτέλεση του έργου·</w:t>
      </w:r>
      <w:r w:rsidRPr="00780F2E">
        <w:rPr>
          <w:rFonts w:ascii="&amp;quot" w:eastAsia="Times New Roman" w:hAnsi="&amp;quot" w:cs="Courier New"/>
          <w:color w:val="000000"/>
          <w:sz w:val="24"/>
          <w:szCs w:val="24"/>
          <w:lang w:eastAsia="el-GR"/>
        </w:rPr>
        <w:br/>
        <w:t>γ) περιγραφή του τεχνικού εξοπλισμού και των μέτρων που λαμβάνει ο οικονομικός φορέας για την εξασφάλιση της ποιότητας και των μέσων μελέτης και έρευνας της επιχείρησής του·</w:t>
      </w:r>
      <w:r w:rsidRPr="00780F2E">
        <w:rPr>
          <w:rFonts w:ascii="&amp;quot" w:eastAsia="Times New Roman" w:hAnsi="&amp;quot" w:cs="Courier New"/>
          <w:color w:val="000000"/>
          <w:sz w:val="24"/>
          <w:szCs w:val="24"/>
          <w:lang w:eastAsia="el-GR"/>
        </w:rPr>
        <w:br/>
        <w:t xml:space="preserve">δ) αναφορά του τρόπου διαχείρισης της αλυσίδας εφοδιασμού και των συστημάτων ανίχνευσης που θα είναι σε θέση να εφαρμόζει ο οικονομικός </w:t>
      </w:r>
      <w:r w:rsidRPr="00780F2E">
        <w:rPr>
          <w:rFonts w:ascii="&amp;quot" w:eastAsia="Times New Roman" w:hAnsi="&amp;quot" w:cs="Courier New"/>
          <w:color w:val="000000"/>
          <w:sz w:val="24"/>
          <w:szCs w:val="24"/>
          <w:lang w:eastAsia="el-GR"/>
        </w:rPr>
        <w:lastRenderedPageBreak/>
        <w:t>φορέας κατά την εκτέλεση της σύμβασης·</w:t>
      </w:r>
      <w:r w:rsidRPr="00780F2E">
        <w:rPr>
          <w:rFonts w:ascii="&amp;quot" w:eastAsia="Times New Roman" w:hAnsi="&amp;quot" w:cs="Courier New"/>
          <w:color w:val="000000"/>
          <w:sz w:val="24"/>
          <w:szCs w:val="24"/>
          <w:lang w:eastAsia="el-GR"/>
        </w:rPr>
        <w:br/>
        <w:t>ε) εάν τα προϊόντα ή οι υπηρεσίες που παρέχονται είναι σύνθετα ή, κατ' εξαίρεση, πρέπει να ανταποκρίνονται σε κάποιον ιδιαίτερο σκοπό, έλεγχος διενεργούμενος από την αναθέτουσα αρχή ή, εξ ονόματος της, από αρμόδιο επίσημο οργανισμό της χώρας όπου είναι εγκατεστημένος ο προμηθευτής ή ο πάροχος υπηρεσιών, με την επιφύλαξη της συναίνεσης του οργανισμού αυτού· ο έλεγχος αυτός αφορά το παραγωγικό δυναμικό του προμηθευτή ή τις τεχνικές ικανότητες του παρόχου υπηρεσιών και, όπου κριθεί απαραίτητο, τα μέσα μελέτης και έρευνας που αυτός διαθέτει καθώς και τα μέτρα που λαμβάνει για τον έλεγχο της ποιότητας·</w:t>
      </w:r>
      <w:r w:rsidRPr="00780F2E">
        <w:rPr>
          <w:rFonts w:ascii="&amp;quot" w:eastAsia="Times New Roman" w:hAnsi="&amp;quot" w:cs="Courier New"/>
          <w:color w:val="000000"/>
          <w:sz w:val="24"/>
          <w:szCs w:val="24"/>
          <w:lang w:eastAsia="el-GR"/>
        </w:rPr>
        <w:br/>
        <w:t>στ) αναφορά τίτλων σπουδών και επαγγελματικών προσόντων του παρόχου υπηρεσιών ή του εργολήπτη ή των διευθυντικών στελεχών της επιχείρησης, υπό την προϋπόθεση ότι δεν αξιολογούνται ως κριτήριο ανάθεσης·</w:t>
      </w:r>
      <w:r w:rsidRPr="00780F2E">
        <w:rPr>
          <w:rFonts w:ascii="&amp;quot" w:eastAsia="Times New Roman" w:hAnsi="&amp;quot" w:cs="Courier New"/>
          <w:color w:val="000000"/>
          <w:sz w:val="24"/>
          <w:szCs w:val="24"/>
          <w:lang w:eastAsia="el-GR"/>
        </w:rPr>
        <w:br/>
        <w:t>ζ) αναφορά των μέτρων περιβαλλοντικής διαχείρισης που μπορεί να εφαρμόζει ο οικονομικός φορέας κατά την εκτέλεση της σύμβασης·</w:t>
      </w:r>
      <w:r w:rsidRPr="00780F2E">
        <w:rPr>
          <w:rFonts w:ascii="&amp;quot" w:eastAsia="Times New Roman" w:hAnsi="&amp;quot" w:cs="Courier New"/>
          <w:color w:val="000000"/>
          <w:sz w:val="24"/>
          <w:szCs w:val="24"/>
          <w:lang w:eastAsia="el-GR"/>
        </w:rPr>
        <w:br/>
        <w:t>η) δήλωση στην οποία αναφέρονται το μέσο ετήσιο εργατοϋπαλληλικό δυναμικό του παρόχου υπηρεσιών ή του εργολήπτη και ο αριθμός των στελεχών της επιχείρησής του κατά τα τελευταία τρία χρόνια·</w:t>
      </w:r>
      <w:r w:rsidRPr="00780F2E">
        <w:rPr>
          <w:rFonts w:ascii="&amp;quot" w:eastAsia="Times New Roman" w:hAnsi="&amp;quot" w:cs="Courier New"/>
          <w:color w:val="000000"/>
          <w:sz w:val="24"/>
          <w:szCs w:val="24"/>
          <w:lang w:eastAsia="el-GR"/>
        </w:rPr>
        <w:br/>
        <w:t>θ) δήλωση σχετικά με τα μηχανήματα, τις εγκαταστάσεις και τον τεχνικό εξοπλισμό που διαθέτει ο πάροχος υπηρεσιών ή ο εργολήπτης για την εκτέλεση της σύμβασης·</w:t>
      </w:r>
      <w:r w:rsidRPr="00780F2E">
        <w:rPr>
          <w:rFonts w:ascii="&amp;quot" w:eastAsia="Times New Roman" w:hAnsi="&amp;quot" w:cs="Courier New"/>
          <w:color w:val="000000"/>
          <w:sz w:val="24"/>
          <w:szCs w:val="24"/>
          <w:lang w:eastAsia="el-GR"/>
        </w:rPr>
        <w:br/>
        <w:t>ι) αναφορά του τμήματος της σύμβασης το οποίο ο οικονομικός φορέας προτίθεται, ενδεχομένως, να αναθέσει σε τρίτους υπό μορφή υπεργολαβίας·</w:t>
      </w:r>
      <w:r w:rsidRPr="00780F2E">
        <w:rPr>
          <w:rFonts w:ascii="&amp;quot" w:eastAsia="Times New Roman" w:hAnsi="&amp;quot" w:cs="Courier New"/>
          <w:color w:val="000000"/>
          <w:sz w:val="24"/>
          <w:szCs w:val="24"/>
          <w:lang w:eastAsia="el-GR"/>
        </w:rPr>
        <w:br/>
        <w:t>ια) όσον αφορά τα προϊόντα που παρέχονται:</w:t>
      </w:r>
      <w:r w:rsidRPr="00780F2E">
        <w:rPr>
          <w:rFonts w:ascii="&amp;quot" w:eastAsia="Times New Roman" w:hAnsi="&amp;quot" w:cs="Courier New"/>
          <w:color w:val="000000"/>
          <w:sz w:val="24"/>
          <w:szCs w:val="24"/>
          <w:lang w:eastAsia="el-GR"/>
        </w:rPr>
        <w:br/>
        <w:t>i) δείγματα, περιγραφή ή φωτογραφίες, η αυθεντικότητα των οποίων πρέπει να μπορεί να βεβαιώνεται κατόπιν αιτήσεως της αναθέτουσας αρχής,</w:t>
      </w:r>
      <w:r w:rsidRPr="00780F2E">
        <w:rPr>
          <w:rFonts w:ascii="&amp;quot" w:eastAsia="Times New Roman" w:hAnsi="&amp;quot" w:cs="Courier New"/>
          <w:color w:val="000000"/>
          <w:sz w:val="24"/>
          <w:szCs w:val="24"/>
          <w:lang w:eastAsia="el-GR"/>
        </w:rPr>
        <w:br/>
        <w:t>ii) πιστοποιητικά εκδιδόμενα από επίσημα ινστιτούτα ή επίσημες υπηρεσίες ελέγχου της ποιότητας, αναγνωρισμένων ικανοτήτων, με τα οποία βεβαιώνεται η καταλληλότητα των αγαθών, επαληθευόμενη με παραπομπές σε ορισμένες τεχνικές προδιαγραφές ή πρότυπα.</w:t>
      </w:r>
      <w:r w:rsidRPr="00780F2E">
        <w:rPr>
          <w:rFonts w:ascii="&amp;quot" w:eastAsia="Times New Roman" w:hAnsi="&amp;quot" w:cs="Courier New"/>
          <w:color w:val="000000"/>
          <w:sz w:val="24"/>
          <w:szCs w:val="24"/>
          <w:lang w:eastAsia="el-GR"/>
        </w:rPr>
        <w:br/>
      </w:r>
    </w:p>
    <w:p w14:paraId="722C9323" w14:textId="77777777" w:rsidR="00780F2E" w:rsidRPr="00780F2E" w:rsidRDefault="00780F2E" w:rsidP="0078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mp;quot" w:eastAsia="Times New Roman" w:hAnsi="&amp;quot" w:cs="Courier New"/>
          <w:color w:val="000000"/>
          <w:sz w:val="20"/>
          <w:szCs w:val="20"/>
          <w:lang w:eastAsia="el-GR"/>
        </w:rPr>
      </w:pPr>
    </w:p>
    <w:p w14:paraId="40558E2A" w14:textId="77777777" w:rsidR="00017BB0" w:rsidRDefault="00017BB0"/>
    <w:sectPr w:rsidR="00017B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ourier New">
    <w:panose1 w:val="02070309020205020404"/>
    <w:charset w:val="A1"/>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37E34"/>
    <w:multiLevelType w:val="hybridMultilevel"/>
    <w:tmpl w:val="5EDCAC32"/>
    <w:lvl w:ilvl="0" w:tplc="202A566A">
      <w:start w:val="1"/>
      <mc:AlternateContent>
        <mc:Choice Requires="w14">
          <w:numFmt w:val="custom" w:format="Α, Β, Γ, ..."/>
        </mc:Choice>
        <mc:Fallback>
          <w:numFmt w:val="decimal"/>
        </mc:Fallback>
      </mc:AlternateContent>
      <w:pStyle w:val="4"/>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84"/>
    <w:rsid w:val="00017BB0"/>
    <w:rsid w:val="001B2403"/>
    <w:rsid w:val="003B6984"/>
    <w:rsid w:val="00757FFC"/>
    <w:rsid w:val="00780F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0C1D"/>
  <w15:chartTrackingRefBased/>
  <w15:docId w15:val="{A804FC19-8B62-4676-91E5-08DD3458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4">
    <w:name w:val="heading 4"/>
    <w:basedOn w:val="a"/>
    <w:next w:val="a"/>
    <w:link w:val="4Char"/>
    <w:autoRedefine/>
    <w:uiPriority w:val="9"/>
    <w:unhideWhenUsed/>
    <w:qFormat/>
    <w:rsid w:val="00757FFC"/>
    <w:pPr>
      <w:keepNext/>
      <w:keepLines/>
      <w:numPr>
        <w:numId w:val="1"/>
      </w:numPr>
      <w:tabs>
        <w:tab w:val="left" w:pos="142"/>
      </w:tabs>
      <w:spacing w:before="40" w:after="0"/>
      <w:jc w:val="both"/>
      <w:outlineLvl w:val="3"/>
    </w:pPr>
    <w:rPr>
      <w:rFonts w:asciiTheme="majorHAnsi" w:eastAsiaTheme="majorEastAsia" w:hAnsiTheme="majorHAnsi" w:cstheme="majorBidi"/>
      <w:i/>
      <w:iCs/>
      <w:color w:val="2F5496" w:themeColor="accent1" w:themeShade="BF"/>
      <w:kern w:val="24"/>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757FFC"/>
    <w:rPr>
      <w:rFonts w:asciiTheme="majorHAnsi" w:eastAsiaTheme="majorEastAsia" w:hAnsiTheme="majorHAnsi" w:cstheme="majorBidi"/>
      <w:i/>
      <w:iCs/>
      <w:color w:val="2F5496" w:themeColor="accent1" w:themeShade="BF"/>
      <w:kern w:val="24"/>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1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3859</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Vlahou</dc:creator>
  <cp:keywords/>
  <dc:description/>
  <cp:lastModifiedBy>Evaggelia Vlahou</cp:lastModifiedBy>
  <cp:revision>2</cp:revision>
  <dcterms:created xsi:type="dcterms:W3CDTF">2019-10-13T16:42:00Z</dcterms:created>
  <dcterms:modified xsi:type="dcterms:W3CDTF">2019-10-13T16:42:00Z</dcterms:modified>
</cp:coreProperties>
</file>